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eg" ContentType="image/jpeg"/>
  <Default Extension="png" ContentType="image/pn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notes.xml" ContentType="application/vnd.openxmlformats-officedocument.wordprocessingml.footnotes+xml"/>
  <Override PartName="/word/settings.xml" ContentType="application/vnd.openxmlformats-officedocument.wordprocessingml.settings+xml"/>
</Types>
</file>

<file path=_rels/.rels>&#65279;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 xmlns:w15="http://schemas.microsoft.com/office/word/2012/wordml" mc:Ignorable="w15">
  <w:body>
    <w:p>
      <w:pPr>
        <w:widowControl w:val="0"/>
        <w:spacing w:line="1" w:lineRule="exact"/>
      </w:pPr>
      <w:r/>
    </w:p>
    <w:tbl>
      <w:tblPr>
        <w:tblOverlap w:val="never"/>
        <w:jc w:val="left"/>
        <w:tblLayout w:type="fixed"/>
      </w:tblPr>
      <w:tblGrid>
        <w:gridCol w:w="2328"/>
        <w:gridCol w:w="3542"/>
      </w:tblGrid>
      <w:tr>
        <w:trPr>
          <w:trHeight w:val="672" w:hRule="exact"/>
        </w:trPr>
        <w:tc>
          <w:tcPr>
            <w:tcBorders/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70" w:h="672" w:wrap="none" w:vAnchor="page" w:hAnchor="page" w:x="723" w:y="3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</w:rPr>
              <w:t>УДК 697.432.5</w:t>
            </w:r>
          </w:p>
        </w:tc>
        <w:tc>
          <w:tcPr>
            <w:tcBorders/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70" w:h="672" w:wrap="none" w:vAnchor="page" w:hAnchor="page" w:x="723" w:y="3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sz w:val="17"/>
                <w:szCs w:val="17"/>
              </w:rPr>
            </w:pPr>
            <w:r>
              <w:rPr>
                <w:b/>
                <w:bCs/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М.П. Сенчук,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7"/>
                <w:szCs w:val="17"/>
              </w:rPr>
              <w:t xml:space="preserve">к.т.н., доцент, 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О.С. 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Савченко,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7"/>
                <w:szCs w:val="17"/>
              </w:rPr>
              <w:t xml:space="preserve">аспірант, </w:t>
            </w:r>
            <w:r>
              <w:rPr>
                <w:b/>
                <w:bCs/>
                <w:color w:val="000000"/>
                <w:spacing w:val="0"/>
                <w:w w:val="100"/>
                <w:position w:val="0"/>
                <w:sz w:val="19"/>
                <w:szCs w:val="19"/>
              </w:rPr>
              <w:t xml:space="preserve">В.М. Сікач, </w:t>
            </w:r>
            <w:r>
              <w:rPr>
                <w:i/>
                <w:iCs/>
                <w:color w:val="000000"/>
                <w:spacing w:val="0"/>
                <w:w w:val="100"/>
                <w:position w:val="0"/>
                <w:sz w:val="17"/>
                <w:szCs w:val="17"/>
              </w:rPr>
              <w:t>магістрант.</w:t>
            </w:r>
          </w:p>
        </w:tc>
      </w:tr>
    </w:tbl>
    <w:p>
      <w:pPr>
        <w:pStyle w:val="Style10"/>
        <w:keepNext w:val="0"/>
        <w:keepLines w:val="0"/>
        <w:framePr w:wrap="none" w:vAnchor="page" w:hAnchor="page" w:x="1568" w:y="972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Київський національний університет будівництва і архітектури.</w:t>
      </w:r>
    </w:p>
    <w:p>
      <w:pPr>
        <w:pStyle w:val="Style12"/>
        <w:keepNext w:val="0"/>
        <w:keepLines w:val="0"/>
        <w:framePr w:w="6096" w:h="3557" w:hRule="exact" w:wrap="none" w:vAnchor="page" w:hAnchor="page" w:x="502" w:y="1601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ТОРФ ЯК ПАЛИВО В КОМУНАЛЬНІЙ ЕНЕРГЕТИЦІ</w:t>
      </w:r>
    </w:p>
    <w:p>
      <w:pPr>
        <w:pStyle w:val="Style12"/>
        <w:keepNext w:val="0"/>
        <w:keepLines w:val="0"/>
        <w:framePr w:w="6096" w:h="3557" w:hRule="exact" w:wrap="none" w:vAnchor="page" w:hAnchor="page" w:x="502" w:y="1601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Використання місцевих паливних ресурсів, зокрема торфу для виробництва теплової енергії є одним із шляхів стабілізації паливно- енергетичного балансу країни. Зростання цін на традиційні види палива спонукає відновлювати та розвивати промисловість по видобутку та підготовці до спалювання торфу в </w:t>
      </w:r>
      <w:r>
        <w:rPr>
          <w:color w:val="000000"/>
          <w:spacing w:val="0"/>
          <w:w w:val="100"/>
          <w:position w:val="0"/>
        </w:rPr>
        <w:t xml:space="preserve">теплогенераторах </w:t>
      </w:r>
      <w:r>
        <w:rPr>
          <w:color w:val="000000"/>
          <w:spacing w:val="0"/>
          <w:w w:val="100"/>
          <w:position w:val="0"/>
        </w:rPr>
        <w:t>систем теплопостачання. Така тенденція характерна і для багатьох країн світу (Фінляндія, Ірландія, Німеччина і ін.).</w:t>
      </w:r>
    </w:p>
    <w:p>
      <w:pPr>
        <w:pStyle w:val="Style12"/>
        <w:keepNext w:val="0"/>
        <w:keepLines w:val="0"/>
        <w:framePr w:w="6096" w:h="3557" w:hRule="exact" w:wrap="none" w:vAnchor="page" w:hAnchor="page" w:x="502" w:y="1601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Торф відноситься до відновлювальних природних ресурсів, який утворюється внаслідок відмирання і неповного розпаду болотних рослин в умовах підвищеного зволоження та нестачі кисню і поширений у всіх кліматичних зонах. В Україні найбільші запаси торфу зосереджені у північних регіонах (на Поліссі) - Волинській, Рівненській, Сумській, Чернігівській та Житомирській областях, а також у Львівській та Київській областях (рис. 1).</w:t>
      </w:r>
    </w:p>
    <w:p>
      <w:pPr>
        <w:framePr w:wrap="none" w:vAnchor="page" w:hAnchor="page" w:x="785" w:y="5422"/>
        <w:widowControl w:val="0"/>
        <w:rPr>
          <w:sz w:val="2"/>
          <w:szCs w:val="2"/>
        </w:rPr>
      </w:pPr>
      <w:r>
        <w:drawing>
          <wp:inline>
            <wp:extent cx="3584575" cy="2371090"/>
            <wp:docPr id="1" name="Picutre 1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5"/>
                    <a:stretch/>
                  </pic:blipFill>
                  <pic:spPr>
                    <a:xfrm>
                      <a:ext cx="3584575" cy="237109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2"/>
        <w:keepNext w:val="0"/>
        <w:keepLines w:val="0"/>
        <w:framePr w:w="6096" w:h="691" w:hRule="exact" w:wrap="none" w:vAnchor="page" w:hAnchor="page" w:x="502" w:y="9348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Загальні промислові запаси торфу в Україні становлять близько 840 мли. т.у.п., з них на відведених під промислову розробку родовищах - близько 23 млн. т.у.п. [1]. Найбільш економічно вигідним є</w:t>
      </w:r>
    </w:p>
    <w:p>
      <w:pPr>
        <w:pStyle w:val="Style15"/>
        <w:keepNext w:val="0"/>
        <w:keepLines w:val="0"/>
        <w:framePr w:wrap="none" w:vAnchor="page" w:hAnchor="page" w:x="488" w:y="10198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6"/>
          <w:szCs w:val="16"/>
        </w:rPr>
      </w:pPr>
      <w:r>
        <w:rPr>
          <w:i w:val="0"/>
          <w:iCs w:val="0"/>
          <w:color w:val="000000"/>
          <w:spacing w:val="0"/>
          <w:w w:val="100"/>
          <w:position w:val="0"/>
          <w:sz w:val="16"/>
          <w:szCs w:val="16"/>
        </w:rPr>
        <w:t>48</w:t>
      </w:r>
    </w:p>
    <w:p>
      <w:pPr>
        <w:pStyle w:val="Style15"/>
        <w:keepNext w:val="0"/>
        <w:keepLines w:val="0"/>
        <w:framePr w:wrap="none" w:vAnchor="page" w:hAnchor="page" w:x="1424" w:y="1020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Вентиляція. освітлення та тепюгаюпостачання. Вип. 16, 2012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7027" w:h="10723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12"/>
        <w:keepNext w:val="0"/>
        <w:keepLines w:val="0"/>
        <w:framePr w:w="6197" w:h="3336" w:hRule="exact" w:wrap="none" w:vAnchor="page" w:hAnchor="page" w:x="452" w:y="324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both"/>
      </w:pPr>
      <w:r>
        <w:rPr>
          <w:color w:val="000000"/>
          <w:spacing w:val="0"/>
          <w:w w:val="100"/>
          <w:position w:val="0"/>
        </w:rPr>
        <w:t>використання торфу, видобутого відкритим способом. Близько 85 % видобутого торфу використовується як паливо у вигляді фрезерного (розмеленого) та кускового (напівбрикотів) торфу, торф’яних брикетів та гранул.</w:t>
      </w:r>
    </w:p>
    <w:p>
      <w:pPr>
        <w:pStyle w:val="Style12"/>
        <w:keepNext w:val="0"/>
        <w:keepLines w:val="0"/>
        <w:framePr w:w="6197" w:h="3336" w:hRule="exact" w:wrap="none" w:vAnchor="page" w:hAnchor="page" w:x="452" w:y="324"/>
        <w:widowControl w:val="0"/>
        <w:shd w:val="clear" w:color="auto" w:fill="auto"/>
        <w:bidi w:val="0"/>
        <w:spacing w:before="0" w:after="0" w:line="240" w:lineRule="auto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>Торф є перспективним місцевим видом палива для отримання теплової енергії, що обумовлено низькою собівартістю виробництва та можливістю застосування нових технологій спалювання з забезпеченням високого коефіцієнту корисної роботи при нормативних екологічних показниках. При спалюванні торфу забруднення атмосфери викидами оксидів сірки та твердими частками в 5-10 раз нижче ніж при спалюванні вугілля. Вогнищеві рештки після спалювання торфу (зола) може використовуватися як добриво місцевими фермерськими господарствами тощо.</w:t>
      </w:r>
    </w:p>
    <w:p>
      <w:pPr>
        <w:pStyle w:val="Style12"/>
        <w:keepNext w:val="0"/>
        <w:keepLines w:val="0"/>
        <w:framePr w:w="6197" w:h="3336" w:hRule="exact" w:wrap="none" w:vAnchor="page" w:hAnchor="page" w:x="452" w:y="324"/>
        <w:widowControl w:val="0"/>
        <w:shd w:val="clear" w:color="auto" w:fill="auto"/>
        <w:bidi w:val="0"/>
        <w:spacing w:before="0" w:after="0" w:line="240" w:lineRule="auto"/>
        <w:ind w:left="0" w:right="0" w:firstLine="440"/>
        <w:jc w:val="both"/>
      </w:pPr>
      <w:r>
        <w:rPr>
          <w:color w:val="000000"/>
          <w:spacing w:val="0"/>
          <w:w w:val="100"/>
          <w:position w:val="0"/>
        </w:rPr>
        <w:t xml:space="preserve">Торф як паливо характеризується високим вмістом вуглецю, малим вмістом сірки та шкідливих негорючих домішок </w:t>
      </w:r>
      <w:r>
        <w:rPr>
          <w:color w:val="000000"/>
          <w:spacing w:val="0"/>
          <w:w w:val="100"/>
          <w:position w:val="0"/>
        </w:rPr>
        <w:t xml:space="preserve">(табл. </w:t>
      </w:r>
      <w:r>
        <w:rPr>
          <w:color w:val="000000"/>
          <w:spacing w:val="0"/>
          <w:w w:val="100"/>
          <w:position w:val="0"/>
        </w:rPr>
        <w:t>1).</w:t>
      </w:r>
    </w:p>
    <w:p>
      <w:pPr>
        <w:framePr w:wrap="none" w:vAnchor="page" w:hAnchor="page" w:x="5741" w:y="3737"/>
        <w:widowControl w:val="0"/>
      </w:pPr>
    </w:p>
    <w:tbl>
      <w:tblPr>
        <w:tblOverlap w:val="never"/>
        <w:jc w:val="left"/>
        <w:tblLayout w:type="fixed"/>
      </w:tblPr>
      <w:tblGrid>
        <w:gridCol w:w="1061"/>
        <w:gridCol w:w="1440"/>
        <w:gridCol w:w="1166"/>
        <w:gridCol w:w="1176"/>
        <w:gridCol w:w="1354"/>
      </w:tblGrid>
      <w:tr>
        <w:trPr>
          <w:trHeight w:val="912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Вид паливного торфу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2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Форма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Зольність, %. не більше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Вологість, %, не більше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Нижча теплота згорання, МДж/кг</w:t>
            </w:r>
          </w:p>
        </w:tc>
      </w:tr>
      <w:tr>
        <w:trPr>
          <w:trHeight w:val="442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Фрезерний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розмелений, насипний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50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8,1</w:t>
            </w:r>
          </w:p>
        </w:tc>
      </w:tr>
      <w:tr>
        <w:trPr>
          <w:trHeight w:val="451" w:hRule="exact"/>
        </w:trPr>
        <w:tc>
          <w:tcPr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Кусковий</w:t>
            </w:r>
          </w:p>
        </w:tc>
        <w:tc>
          <w:tcPr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циліндрична, призматична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23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45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11,0</w:t>
            </w:r>
          </w:p>
        </w:tc>
      </w:tr>
      <w:tr>
        <w:trPr>
          <w:trHeight w:val="672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Брикети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призматична із заокругленими кутами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23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20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16,8-17,3</w:t>
            </w:r>
          </w:p>
        </w:tc>
      </w:tr>
      <w:tr>
        <w:trPr>
          <w:trHeight w:val="1114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1'ранули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циліндрична, діаметр 6-10 мм, довжина 25-50</w:t>
            </w:r>
          </w:p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мм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18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15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6197" w:h="3590" w:wrap="none" w:vAnchor="page" w:hAnchor="page" w:x="452" w:y="39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</w:pPr>
            <w:r>
              <w:rPr>
                <w:color w:val="000000"/>
                <w:spacing w:val="0"/>
                <w:w w:val="100"/>
                <w:position w:val="0"/>
              </w:rPr>
              <w:t>17,2-18,0</w:t>
            </w:r>
          </w:p>
        </w:tc>
      </w:tr>
    </w:tbl>
    <w:p>
      <w:pPr>
        <w:pStyle w:val="Style12"/>
        <w:keepNext w:val="0"/>
        <w:keepLines w:val="0"/>
        <w:framePr w:w="6197" w:h="2338" w:hRule="exact" w:wrap="none" w:vAnchor="page" w:hAnchor="page" w:x="452" w:y="7721"/>
        <w:widowControl w:val="0"/>
        <w:shd w:val="clear" w:color="auto" w:fill="auto"/>
        <w:bidi w:val="0"/>
        <w:spacing w:before="0" w:after="0" w:line="257" w:lineRule="auto"/>
        <w:ind w:left="0" w:right="0" w:firstLine="540"/>
        <w:jc w:val="both"/>
      </w:pPr>
      <w:r>
        <w:rPr>
          <w:color w:val="000000"/>
          <w:spacing w:val="0"/>
          <w:w w:val="100"/>
          <w:position w:val="0"/>
        </w:rPr>
        <w:t xml:space="preserve">Нарощування видобутку торфу і виробництво з нього брикетованого та гранульованого палива, а також розробка та впровадження у виробництво ефективних </w:t>
      </w:r>
      <w:r>
        <w:rPr>
          <w:color w:val="000000"/>
          <w:spacing w:val="0"/>
          <w:w w:val="100"/>
          <w:position w:val="0"/>
        </w:rPr>
        <w:t xml:space="preserve">теплогенераторов </w:t>
      </w:r>
      <w:r>
        <w:rPr>
          <w:color w:val="000000"/>
          <w:spacing w:val="0"/>
          <w:w w:val="100"/>
          <w:position w:val="0"/>
        </w:rPr>
        <w:t>невеликої потужності для спалювання торфу є важливим завданням для ефективного використання природно-ресурсного потенціалу.</w:t>
      </w:r>
    </w:p>
    <w:p>
      <w:pPr>
        <w:pStyle w:val="Style12"/>
        <w:keepNext w:val="0"/>
        <w:keepLines w:val="0"/>
        <w:framePr w:w="6197" w:h="2338" w:hRule="exact" w:wrap="none" w:vAnchor="page" w:hAnchor="page" w:x="452" w:y="7721"/>
        <w:widowControl w:val="0"/>
        <w:shd w:val="clear" w:color="auto" w:fill="auto"/>
        <w:bidi w:val="0"/>
        <w:spacing w:before="0" w:after="0" w:line="257" w:lineRule="auto"/>
        <w:ind w:left="0" w:right="0" w:firstLine="540"/>
        <w:jc w:val="both"/>
      </w:pPr>
      <w:r>
        <w:rPr>
          <w:color w:val="000000"/>
          <w:spacing w:val="0"/>
          <w:w w:val="100"/>
          <w:position w:val="0"/>
        </w:rPr>
        <w:t xml:space="preserve">Спалювання торфу як палива в </w:t>
      </w:r>
      <w:r>
        <w:rPr>
          <w:color w:val="000000"/>
          <w:spacing w:val="0"/>
          <w:w w:val="100"/>
          <w:position w:val="0"/>
        </w:rPr>
        <w:t xml:space="preserve">теплогенераторах </w:t>
      </w:r>
      <w:r>
        <w:rPr>
          <w:color w:val="000000"/>
          <w:spacing w:val="0"/>
          <w:w w:val="100"/>
          <w:position w:val="0"/>
        </w:rPr>
        <w:t>для одержання теплової енергії здійснюється різними методами:</w:t>
      </w:r>
    </w:p>
    <w:p>
      <w:pPr>
        <w:pStyle w:val="Style12"/>
        <w:keepNext w:val="0"/>
        <w:keepLines w:val="0"/>
        <w:framePr w:w="6197" w:h="2338" w:hRule="exact" w:wrap="none" w:vAnchor="page" w:hAnchor="page" w:x="452" w:y="7721"/>
        <w:widowControl w:val="0"/>
        <w:shd w:val="clear" w:color="auto" w:fill="auto"/>
        <w:bidi w:val="0"/>
        <w:spacing w:before="0" w:after="0" w:line="257" w:lineRule="auto"/>
        <w:ind w:left="0" w:right="0" w:firstLine="540"/>
        <w:jc w:val="both"/>
      </w:pPr>
      <w:r>
        <w:rPr>
          <w:color w:val="000000"/>
          <w:spacing w:val="0"/>
          <w:w w:val="100"/>
          <w:position w:val="0"/>
        </w:rPr>
        <w:t>- методом піролізу (під дією високої температури і нестачі кисню розпад торфу на летку частину — піролізний газ та кокс — деревне вугілля);</w:t>
      </w:r>
    </w:p>
    <w:p>
      <w:pPr>
        <w:pStyle w:val="Style15"/>
        <w:keepNext w:val="0"/>
        <w:keepLines w:val="0"/>
        <w:framePr w:wrap="none" w:vAnchor="page" w:hAnchor="page" w:x="1455" w:y="1020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Вентиляція, освітлення ти теплогазопостанаиня. </w:t>
      </w:r>
      <w:r>
        <w:rPr>
          <w:color w:val="000000"/>
          <w:spacing w:val="0"/>
          <w:w w:val="100"/>
          <w:position w:val="0"/>
        </w:rPr>
        <w:t xml:space="preserve">Bun. </w:t>
      </w:r>
      <w:r>
        <w:rPr>
          <w:color w:val="000000"/>
          <w:spacing w:val="0"/>
          <w:w w:val="100"/>
          <w:position w:val="0"/>
        </w:rPr>
        <w:t>І б. 20 і 2</w:t>
      </w:r>
    </w:p>
    <w:p>
      <w:pPr>
        <w:pStyle w:val="Style15"/>
        <w:keepNext w:val="0"/>
        <w:keepLines w:val="0"/>
        <w:framePr w:wrap="none" w:vAnchor="page" w:hAnchor="page" w:x="6370" w:y="102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6"/>
          <w:szCs w:val="16"/>
        </w:rPr>
      </w:pPr>
      <w:r>
        <w:rPr>
          <w:i w:val="0"/>
          <w:iCs w:val="0"/>
          <w:color w:val="000000"/>
          <w:spacing w:val="0"/>
          <w:w w:val="100"/>
          <w:position w:val="0"/>
          <w:sz w:val="16"/>
          <w:szCs w:val="16"/>
        </w:rPr>
        <w:t>49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7027" w:h="10723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12"/>
        <w:keepNext w:val="0"/>
        <w:keepLines w:val="0"/>
        <w:framePr w:w="6101" w:h="2357" w:hRule="exact" w:wrap="none" w:vAnchor="page" w:hAnchor="page" w:x="500" w:y="139"/>
        <w:widowControl w:val="0"/>
        <w:numPr>
          <w:ilvl w:val="0"/>
          <w:numId w:val="1"/>
        </w:numPr>
        <w:shd w:val="clear" w:color="auto" w:fill="auto"/>
        <w:tabs>
          <w:tab w:pos="687" w:val="left"/>
        </w:tabs>
        <w:bidi w:val="0"/>
        <w:spacing w:before="0" w:after="0" w:line="233" w:lineRule="auto"/>
        <w:ind w:left="0" w:right="0" w:firstLine="500"/>
        <w:jc w:val="both"/>
      </w:pPr>
      <w:bookmarkStart w:id="0" w:name="bookmark0"/>
      <w:bookmarkEnd w:id="0"/>
      <w:r>
        <w:rPr>
          <w:color w:val="000000"/>
          <w:spacing w:val="0"/>
          <w:w w:val="100"/>
          <w:position w:val="0"/>
        </w:rPr>
        <w:t>вихровим методом (спалювання фрезерного торфу у топках циклонного типу):</w:t>
      </w:r>
    </w:p>
    <w:p>
      <w:pPr>
        <w:pStyle w:val="Style12"/>
        <w:keepNext w:val="0"/>
        <w:keepLines w:val="0"/>
        <w:framePr w:w="6101" w:h="2357" w:hRule="exact" w:wrap="none" w:vAnchor="page" w:hAnchor="page" w:x="500" w:y="139"/>
        <w:widowControl w:val="0"/>
        <w:numPr>
          <w:ilvl w:val="0"/>
          <w:numId w:val="1"/>
        </w:numPr>
        <w:shd w:val="clear" w:color="auto" w:fill="auto"/>
        <w:tabs>
          <w:tab w:pos="698" w:val="left"/>
        </w:tabs>
        <w:bidi w:val="0"/>
        <w:spacing w:before="0" w:after="0" w:line="233" w:lineRule="auto"/>
        <w:ind w:left="0" w:right="0" w:firstLine="500"/>
        <w:jc w:val="both"/>
      </w:pPr>
      <w:bookmarkStart w:id="1" w:name="bookmark1"/>
      <w:bookmarkEnd w:id="1"/>
      <w:r>
        <w:rPr>
          <w:color w:val="000000"/>
          <w:spacing w:val="0"/>
          <w:w w:val="100"/>
          <w:position w:val="0"/>
        </w:rPr>
        <w:t>у зваженому стані (в «киплячому» шарі);</w:t>
      </w:r>
    </w:p>
    <w:p>
      <w:pPr>
        <w:pStyle w:val="Style12"/>
        <w:keepNext w:val="0"/>
        <w:keepLines w:val="0"/>
        <w:framePr w:w="6101" w:h="2357" w:hRule="exact" w:wrap="none" w:vAnchor="page" w:hAnchor="page" w:x="500" w:y="139"/>
        <w:widowControl w:val="0"/>
        <w:numPr>
          <w:ilvl w:val="0"/>
          <w:numId w:val="1"/>
        </w:numPr>
        <w:shd w:val="clear" w:color="auto" w:fill="auto"/>
        <w:tabs>
          <w:tab w:pos="678" w:val="left"/>
        </w:tabs>
        <w:bidi w:val="0"/>
        <w:spacing w:before="0" w:after="0" w:line="233" w:lineRule="auto"/>
        <w:ind w:left="0" w:right="0" w:firstLine="500"/>
        <w:jc w:val="both"/>
      </w:pPr>
      <w:bookmarkStart w:id="2" w:name="bookmark2"/>
      <w:bookmarkEnd w:id="2"/>
      <w:r>
        <w:rPr>
          <w:color w:val="000000"/>
          <w:spacing w:val="0"/>
          <w:w w:val="100"/>
          <w:position w:val="0"/>
        </w:rPr>
        <w:t>традиційним методом прямого спалювання в шарі на колосниковій решітці.</w:t>
      </w:r>
    </w:p>
    <w:p>
      <w:pPr>
        <w:pStyle w:val="Style12"/>
        <w:keepNext w:val="0"/>
        <w:keepLines w:val="0"/>
        <w:framePr w:w="6101" w:h="2357" w:hRule="exact" w:wrap="none" w:vAnchor="page" w:hAnchor="page" w:x="500" w:y="139"/>
        <w:widowControl w:val="0"/>
        <w:shd w:val="clear" w:color="auto" w:fill="auto"/>
        <w:bidi w:val="0"/>
        <w:spacing w:before="0" w:after="0" w:line="233" w:lineRule="auto"/>
        <w:ind w:left="0" w:right="0" w:firstLine="500"/>
        <w:jc w:val="both"/>
      </w:pPr>
      <w:r>
        <w:rPr>
          <w:color w:val="000000"/>
          <w:spacing w:val="0"/>
          <w:w w:val="100"/>
          <w:position w:val="0"/>
        </w:rPr>
        <w:t xml:space="preserve">В опалювальних котельних з котлами теплопродуктивністю до 2 </w:t>
      </w:r>
      <w:r>
        <w:rPr>
          <w:color w:val="000000"/>
          <w:spacing w:val="0"/>
          <w:w w:val="100"/>
          <w:position w:val="0"/>
        </w:rPr>
        <w:t xml:space="preserve">МВт </w:t>
      </w:r>
      <w:r>
        <w:rPr>
          <w:color w:val="000000"/>
          <w:spacing w:val="0"/>
          <w:w w:val="100"/>
          <w:position w:val="0"/>
        </w:rPr>
        <w:t>найпоширеніше спалювання твердого палива в шарі, що обумовлене прийнятними капітальними затратами на впровадження та надійністю і простотою в експлуатації. Технологія спалювання в шарі базуються на класичних схемах організації процесу горіння: прямотечійній, протитечійній та поперечній (рис.2).</w:t>
      </w:r>
    </w:p>
    <w:p>
      <w:pPr>
        <w:framePr w:wrap="none" w:vAnchor="page" w:hAnchor="page" w:x="807" w:y="2674"/>
        <w:widowControl w:val="0"/>
        <w:rPr>
          <w:sz w:val="2"/>
          <w:szCs w:val="2"/>
        </w:rPr>
      </w:pPr>
      <w:r>
        <w:drawing>
          <wp:inline>
            <wp:extent cx="3676015" cy="938530"/>
            <wp:docPr id="2" name="Picutre 2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ext cx="3676015" cy="93853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rap="none" w:vAnchor="page" w:hAnchor="page" w:x="1897" w:y="4162"/>
        <w:widowControl w:val="0"/>
        <w:shd w:val="clear" w:color="auto" w:fill="auto"/>
        <w:tabs>
          <w:tab w:pos="2544" w:val="left"/>
        </w:tabs>
        <w:bidi w:val="0"/>
        <w:spacing w:before="0" w:after="0" w:line="240" w:lineRule="auto"/>
        <w:ind w:left="0" w:right="0" w:firstLine="0"/>
        <w:jc w:val="left"/>
        <w:rPr>
          <w:sz w:val="10"/>
          <w:szCs w:val="10"/>
        </w:rPr>
      </w:pPr>
      <w:r>
        <w:rPr>
          <w:rFonts w:ascii="Arial" w:eastAsia="Arial" w:hAnsi="Arial" w:cs="Arial"/>
          <w:b/>
          <w:bCs/>
          <w:i w:val="0"/>
          <w:iCs w:val="0"/>
          <w:color w:val="000000"/>
          <w:spacing w:val="0"/>
          <w:w w:val="100"/>
          <w:position w:val="0"/>
          <w:sz w:val="10"/>
          <w:szCs w:val="10"/>
        </w:rPr>
        <w:t>&lt;■ » - паливо о—&gt;- повгря—&gt;- вщ&lt; дні гаг*</w:t>
        <w:tab/>
        <w:t>зсххицея залиш».</w:t>
      </w:r>
    </w:p>
    <w:p>
      <w:pPr>
        <w:pStyle w:val="Style18"/>
        <w:keepNext w:val="0"/>
        <w:keepLines w:val="0"/>
        <w:framePr w:w="5626" w:h="418" w:hRule="exact" w:wrap="none" w:vAnchor="page" w:hAnchor="page" w:x="725" w:y="4450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>Рис. 2. Схеми горіння твердого палива в шарі:</w:t>
        <w:br/>
        <w:t>а прямотечійна; б - протитечійна; в - поперечна: г — шахтно-шарова.</w:t>
      </w:r>
    </w:p>
    <w:p>
      <w:pPr>
        <w:pStyle w:val="Style12"/>
        <w:keepNext w:val="0"/>
        <w:keepLines w:val="0"/>
        <w:framePr w:w="6101" w:h="4891" w:hRule="exact" w:wrap="none" w:vAnchor="page" w:hAnchor="page" w:x="500" w:y="5040"/>
        <w:widowControl w:val="0"/>
        <w:shd w:val="clear" w:color="auto" w:fill="auto"/>
        <w:bidi w:val="0"/>
        <w:spacing w:before="0" w:after="0" w:line="233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Вибір схеми організації горіння твердого палива здійснюється з урахуванням виду, фракційності і складу палива, вмісту та температурних властивостей золи, режимних параметрів роботи та експлуатаційних умов. Поперечна схема забезпечує можливість механізувати процес спалювання, підтримання поточності по подачі свіжих порцій палива на горіння і видалення вогнищевих решток [2].</w:t>
      </w:r>
    </w:p>
    <w:p>
      <w:pPr>
        <w:pStyle w:val="Style12"/>
        <w:keepNext w:val="0"/>
        <w:keepLines w:val="0"/>
        <w:framePr w:w="6101" w:h="4891" w:hRule="exact" w:wrap="none" w:vAnchor="page" w:hAnchor="page" w:x="500" w:y="5040"/>
        <w:widowControl w:val="0"/>
        <w:shd w:val="clear" w:color="auto" w:fill="auto"/>
        <w:bidi w:val="0"/>
        <w:spacing w:before="0" w:after="0" w:line="233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Більш ефективним методом спалювання є комбінований метод (шахтно-шарова схема) [3] - поєднання піролізиого процесу в шахті із шаровим горінням на колосниковій решітці за поперечною схемою в топці з механічним шговхачем (рис.2 г). При організації такої схеми горіння в шахті під дією високої температури горіння шару в нижній зоні інтенсивно виділяються леткі речовини, які крізь перфоровану затискну решітку потраігляють в топковий об’єм. Горіння шахтного піролізиого газу відбувається у високотемпературному факелі горіння коксу (деревного вугілля) на допалювальній колосниковій решітці. По мірі подачі плунжерним шговхачем нової порції палива з шахти на решітку здійснюється поступальне переміщення шару, з останньої зони решітки вогнищеві рештки випадають в зольник.</w:t>
      </w:r>
    </w:p>
    <w:p>
      <w:pPr>
        <w:pStyle w:val="Style12"/>
        <w:keepNext w:val="0"/>
        <w:keepLines w:val="0"/>
        <w:framePr w:w="6101" w:h="4891" w:hRule="exact" w:wrap="none" w:vAnchor="page" w:hAnchor="page" w:x="500" w:y="5040"/>
        <w:widowControl w:val="0"/>
        <w:shd w:val="clear" w:color="auto" w:fill="auto"/>
        <w:bidi w:val="0"/>
        <w:spacing w:before="0" w:after="0" w:line="233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>Стабільність і ефективність роботи топкових пристроїв, в яких реалізований метод спалювання палива в шарі, визначається в основному організацією аеродинамічних умов процесу горіння, які визначаються конструктивними і режимними параметрами зони горіння. Методика розрахунку розмірів зони горіння залежно від виду палива та</w:t>
      </w:r>
    </w:p>
    <w:p>
      <w:pPr>
        <w:pStyle w:val="Style15"/>
        <w:keepNext w:val="0"/>
        <w:keepLines w:val="0"/>
        <w:framePr w:wrap="none" w:vAnchor="page" w:hAnchor="page" w:x="514" w:y="1002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6"/>
          <w:szCs w:val="16"/>
        </w:rPr>
      </w:pPr>
      <w:r>
        <w:rPr>
          <w:i w:val="0"/>
          <w:iCs w:val="0"/>
          <w:color w:val="000000"/>
          <w:spacing w:val="0"/>
          <w:w w:val="100"/>
          <w:position w:val="0"/>
          <w:sz w:val="16"/>
          <w:szCs w:val="16"/>
        </w:rPr>
        <w:t>50</w:t>
      </w:r>
    </w:p>
    <w:p>
      <w:pPr>
        <w:pStyle w:val="Style15"/>
        <w:keepNext w:val="0"/>
        <w:keepLines w:val="0"/>
        <w:framePr w:wrap="none" w:vAnchor="page" w:hAnchor="page" w:x="1455" w:y="1002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Вентиляція. освітлення та теплогазопостачання. Вин. 16, 2012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7027" w:h="10723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12"/>
        <w:keepNext w:val="0"/>
        <w:keepLines w:val="0"/>
        <w:framePr w:w="6101" w:h="5731" w:hRule="exact" w:wrap="none" w:vAnchor="page" w:hAnchor="page" w:x="500" w:y="300"/>
        <w:widowControl w:val="0"/>
        <w:shd w:val="clear" w:color="auto" w:fill="auto"/>
        <w:bidi w:val="0"/>
        <w:spacing w:before="0" w:after="0" w:line="233" w:lineRule="auto"/>
        <w:ind w:left="0" w:right="15" w:firstLine="0"/>
        <w:jc w:val="both"/>
      </w:pPr>
      <w:r>
        <w:rPr>
          <w:color w:val="000000"/>
          <w:spacing w:val="0"/>
          <w:w w:val="100"/>
          <w:position w:val="0"/>
        </w:rPr>
        <w:t>аеродинамічних характеристик шару наведена в [4]. Горіння часток</w:t>
        <w:br/>
        <w:t>палива в сталому шарі на колосниковій решітці відбувається при</w:t>
        <w:br/>
        <w:t>високих температурах в дифузійному режимі: кисень дуттьового</w:t>
        <w:br/>
        <w:t>повітря, що пронизує шар, витрачається здебільшого в поверхневій</w:t>
        <w:br/>
        <w:t xml:space="preserve">оболонці часток на спалювання </w:t>
      </w:r>
      <w:r>
        <w:rPr>
          <w:color w:val="000000"/>
          <w:spacing w:val="0"/>
          <w:w w:val="100"/>
          <w:position w:val="0"/>
        </w:rPr>
        <w:t xml:space="preserve">СО </w:t>
      </w:r>
      <w:r>
        <w:rPr>
          <w:color w:val="000000"/>
          <w:spacing w:val="0"/>
          <w:w w:val="100"/>
          <w:position w:val="0"/>
        </w:rPr>
        <w:t>і Н</w:t>
      </w:r>
      <w:r>
        <w:rPr>
          <w:color w:val="000000"/>
          <w:spacing w:val="0"/>
          <w:w w:val="100"/>
          <w:position w:val="0"/>
          <w:vertAlign w:val="subscript"/>
        </w:rPr>
        <w:t>;</w:t>
      </w:r>
      <w:r>
        <w:rPr>
          <w:color w:val="000000"/>
          <w:spacing w:val="0"/>
          <w:w w:val="100"/>
          <w:position w:val="0"/>
        </w:rPr>
        <w:t>, а вигорання вуглецю часток</w:t>
        <w:br/>
        <w:t xml:space="preserve">проходить за реакціями відновлення з </w:t>
      </w:r>
      <w:r>
        <w:rPr>
          <w:color w:val="000000"/>
          <w:spacing w:val="0"/>
          <w:w w:val="100"/>
          <w:position w:val="0"/>
        </w:rPr>
        <w:t xml:space="preserve">СО? </w:t>
      </w:r>
      <w:r>
        <w:rPr>
          <w:color w:val="000000"/>
          <w:spacing w:val="0"/>
          <w:w w:val="100"/>
          <w:position w:val="0"/>
        </w:rPr>
        <w:t>і Н</w:t>
      </w:r>
      <w:r>
        <w:rPr>
          <w:color w:val="000000"/>
          <w:spacing w:val="0"/>
          <w:w w:val="100"/>
          <w:position w:val="0"/>
          <w:vertAlign w:val="subscript"/>
        </w:rPr>
        <w:t>2</w:t>
      </w:r>
      <w:r>
        <w:rPr>
          <w:color w:val="000000"/>
          <w:spacing w:val="0"/>
          <w:w w:val="100"/>
          <w:position w:val="0"/>
        </w:rPr>
        <w:t>О. На гетерогенний</w:t>
        <w:br/>
        <w:t>процес горіння часток в шарі суттєво впливають фракційний склад</w:t>
        <w:br/>
        <w:t>палива та його якість (вміст і температура плавлення золи, вміст летких</w:t>
        <w:br/>
        <w:t>речовин тощо), режимні параметри процесу (швидкість дуття,</w:t>
        <w:br/>
        <w:t>концентрація кисню в шарі, надмір повітря). Найбільш повно процес</w:t>
        <w:br/>
        <w:t>горіння твердого палива характеризується питомою швидкістю горіння,</w:t>
        <w:br/>
      </w:r>
      <w:r>
        <w:rPr>
          <w:color w:val="000000"/>
          <w:spacing w:val="0"/>
          <w:w w:val="100"/>
          <w:position w:val="0"/>
        </w:rPr>
        <w:t>K</w:t>
      </w:r>
      <w:r>
        <w:rPr>
          <w:color w:val="000000"/>
          <w:spacing w:val="0"/>
          <w:w w:val="100"/>
          <w:position w:val="0"/>
          <w:vertAlign w:val="subscript"/>
        </w:rPr>
        <w:t>s</w:t>
      </w:r>
      <w:r>
        <w:rPr>
          <w:color w:val="000000"/>
          <w:spacing w:val="0"/>
          <w:w w:val="100"/>
          <w:position w:val="0"/>
        </w:rPr>
        <w:t xml:space="preserve">, </w:t>
      </w:r>
      <w:r>
        <w:rPr>
          <w:color w:val="000000"/>
          <w:spacing w:val="0"/>
          <w:w w:val="100"/>
          <w:position w:val="0"/>
        </w:rPr>
        <w:t>г/(см‘ с), яка визначає швидкість газоутворення в шарі, і дорівнює</w:t>
        <w:br/>
        <w:t>відношенню кількості спалюваного за одиницю часу твердого палива,</w:t>
        <w:br/>
        <w:t>тобто перетвореного в газоподібний стан, до сумарної поверхні</w:t>
        <w:br/>
        <w:t xml:space="preserve">реагування (зовнішня поверхня часток в шарі) [2, </w:t>
      </w:r>
      <w:r>
        <w:rPr>
          <w:color w:val="000000"/>
          <w:spacing w:val="0"/>
          <w:w w:val="100"/>
          <w:position w:val="0"/>
        </w:rPr>
        <w:t>5J.</w:t>
      </w:r>
    </w:p>
    <w:p>
      <w:pPr>
        <w:pStyle w:val="Style12"/>
        <w:keepNext w:val="0"/>
        <w:keepLines w:val="0"/>
        <w:framePr w:w="6101" w:h="5731" w:hRule="exact" w:wrap="none" w:vAnchor="page" w:hAnchor="page" w:x="500" w:y="300"/>
        <w:widowControl w:val="0"/>
        <w:shd w:val="clear" w:color="auto" w:fill="auto"/>
        <w:bidi w:val="0"/>
        <w:spacing w:before="0" w:after="0" w:line="233" w:lineRule="auto"/>
        <w:ind w:left="0" w:right="15"/>
        <w:jc w:val="both"/>
      </w:pPr>
      <w:r>
        <w:rPr>
          <w:color w:val="000000"/>
          <w:spacing w:val="0"/>
          <w:w w:val="100"/>
          <w:position w:val="0"/>
        </w:rPr>
        <w:t>Розрахункові криві вигорання коксу і довгополум’яного газового</w:t>
        <w:br/>
        <w:t>вугілля з великим виходом летких речовин (40-50%) на колосниковій</w:t>
        <w:br/>
        <w:t>решітці наведено на рис.З. В розрахунках прийнято: потужність</w:t>
        <w:br/>
        <w:t xml:space="preserve">топкового пристрою 0,5 </w:t>
      </w:r>
      <w:r>
        <w:rPr>
          <w:color w:val="000000"/>
          <w:spacing w:val="0"/>
          <w:w w:val="100"/>
          <w:position w:val="0"/>
        </w:rPr>
        <w:t xml:space="preserve">МВт; </w:t>
      </w:r>
      <w:r>
        <w:rPr>
          <w:color w:val="000000"/>
          <w:spacing w:val="0"/>
          <w:w w:val="100"/>
          <w:position w:val="0"/>
        </w:rPr>
        <w:t>ширина зони горіння 60 см; висота</w:t>
        <w:br/>
        <w:t>вихідного вікна з шахти 18 см; частка палива, що вигорає в шахті - 60</w:t>
        <w:br/>
        <w:t>%; надлишок повітря в топковому об’ємі (на вході в конвективну</w:t>
        <w:br/>
        <w:t xml:space="preserve">частину </w:t>
      </w:r>
      <w:r>
        <w:rPr>
          <w:color w:val="000000"/>
          <w:spacing w:val="0"/>
          <w:w w:val="100"/>
          <w:position w:val="0"/>
        </w:rPr>
        <w:t xml:space="preserve">теплогенератора) </w:t>
      </w:r>
      <w:r>
        <w:rPr>
          <w:color w:val="000000"/>
          <w:spacing w:val="0"/>
          <w:w w:val="100"/>
          <w:position w:val="0"/>
        </w:rPr>
        <w:t>- а - 1,4; 5 - розмір часток палива на вході в</w:t>
        <w:br/>
        <w:t xml:space="preserve">шахту, см; </w:t>
      </w:r>
      <w:r>
        <w:rPr>
          <w:color w:val="000000"/>
          <w:spacing w:val="0"/>
          <w:w w:val="100"/>
          <w:position w:val="0"/>
        </w:rPr>
        <w:t xml:space="preserve">w </w:t>
      </w:r>
      <w:r>
        <w:rPr>
          <w:color w:val="000000"/>
          <w:spacing w:val="0"/>
          <w:w w:val="100"/>
          <w:position w:val="0"/>
        </w:rPr>
        <w:t>- швидкість дуттьового повітря на вході шару палива, м/с.</w:t>
      </w:r>
    </w:p>
    <w:p>
      <w:pPr>
        <w:pStyle w:val="Style12"/>
        <w:keepNext w:val="0"/>
        <w:keepLines w:val="0"/>
        <w:framePr w:w="6101" w:h="5731" w:hRule="exact" w:wrap="none" w:vAnchor="page" w:hAnchor="page" w:x="500" w:y="300"/>
        <w:widowControl w:val="0"/>
        <w:shd w:val="clear" w:color="auto" w:fill="auto"/>
        <w:tabs>
          <w:tab w:pos="721" w:val="left"/>
        </w:tabs>
        <w:bidi w:val="0"/>
        <w:spacing w:before="0" w:after="0" w:line="233" w:lineRule="auto"/>
        <w:ind w:left="0" w:right="15" w:firstLine="480"/>
        <w:jc w:val="both"/>
      </w:pPr>
      <w:bookmarkStart w:id="3" w:name="bookmark3"/>
      <w:r>
        <w:rPr>
          <w:color w:val="000000"/>
          <w:spacing w:val="0"/>
          <w:w w:val="100"/>
          <w:position w:val="0"/>
          <w:shd w:val="clear" w:color="auto" w:fill="FFFFFF"/>
        </w:rPr>
        <w:t>З</w:t>
      </w:r>
      <w:bookmarkEnd w:id="3"/>
      <w:r>
        <w:rPr>
          <w:color w:val="000000"/>
          <w:spacing w:val="0"/>
          <w:w w:val="100"/>
          <w:position w:val="0"/>
        </w:rPr>
        <w:tab/>
        <w:t>аналізу результатів розрахунку видно, що вплив розміру часток</w:t>
        <w:br/>
        <w:t>та швидкості дуття на швидкість горіння натурального палива в шарі</w:t>
        <w:br/>
        <w:t>аналогічний випадкові горіння коксу в шарі, але з ростом вмісту летких</w:t>
        <w:br/>
        <w:t>речовин швидкість горіння газового вугілля збільшується в 2 - 3 рази.</w:t>
      </w:r>
    </w:p>
    <w:p>
      <w:pPr>
        <w:framePr w:wrap="none" w:vAnchor="page" w:hAnchor="page" w:x="572" w:y="6017"/>
        <w:widowControl w:val="0"/>
        <w:rPr>
          <w:sz w:val="2"/>
          <w:szCs w:val="2"/>
        </w:rPr>
      </w:pPr>
      <w:r>
        <w:drawing>
          <wp:inline>
            <wp:extent cx="3767455" cy="981710"/>
            <wp:docPr id="3" name="Picutre 3"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9"/>
                    <a:stretch/>
                  </pic:blipFill>
                  <pic:spPr>
                    <a:xfrm>
                      <a:ext cx="3767455" cy="981710"/>
                    </a:xfrm>
                    <a:prstGeom prst="rect"/>
                  </pic:spPr>
                </pic:pic>
              </a:graphicData>
            </a:graphic>
          </wp:inline>
        </w:drawing>
      </w:r>
    </w:p>
    <w:p>
      <w:pPr>
        <w:pStyle w:val="Style18"/>
        <w:keepNext w:val="0"/>
        <w:keepLines w:val="0"/>
        <w:framePr w:w="6053" w:h="422" w:hRule="exact" w:wrap="none" w:vAnchor="page" w:hAnchor="page" w:x="505" w:y="7711"/>
        <w:widowControl w:val="0"/>
        <w:shd w:val="clear" w:color="auto" w:fill="auto"/>
        <w:bidi w:val="0"/>
        <w:spacing w:before="0" w:after="0"/>
        <w:ind w:left="0" w:right="0" w:firstLine="0"/>
        <w:jc w:val="center"/>
      </w:pPr>
      <w:r>
        <w:rPr>
          <w:color w:val="000000"/>
          <w:spacing w:val="0"/>
          <w:w w:val="100"/>
          <w:position w:val="0"/>
        </w:rPr>
        <w:t xml:space="preserve">Рис.Графіки вигорання коксу (К) і довгополум </w:t>
      </w:r>
      <w:r>
        <w:rPr>
          <w:color w:val="000000"/>
          <w:spacing w:val="0"/>
          <w:w w:val="100"/>
          <w:position w:val="0"/>
        </w:rPr>
        <w:t xml:space="preserve">’иного </w:t>
      </w:r>
      <w:r>
        <w:rPr>
          <w:color w:val="000000"/>
          <w:spacing w:val="0"/>
          <w:w w:val="100"/>
          <w:position w:val="0"/>
        </w:rPr>
        <w:t>газового вугілля (ДГ)</w:t>
        <w:br/>
        <w:t>на колосниковій решітці.</w:t>
      </w:r>
    </w:p>
    <w:p>
      <w:pPr>
        <w:pStyle w:val="Style10"/>
        <w:keepNext w:val="0"/>
        <w:keepLines w:val="0"/>
        <w:framePr w:wrap="none" w:vAnchor="page" w:hAnchor="page" w:x="5713" w:y="8441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9"/>
          <w:szCs w:val="19"/>
        </w:rPr>
      </w:pPr>
      <w:r>
        <w:rPr>
          <w:color w:val="000000"/>
          <w:spacing w:val="0"/>
          <w:w w:val="100"/>
          <w:position w:val="0"/>
          <w:sz w:val="19"/>
          <w:szCs w:val="19"/>
        </w:rPr>
        <w:t>Таблиця 2</w:t>
      </w:r>
    </w:p>
    <w:tbl>
      <w:tblPr>
        <w:tblOverlap w:val="never"/>
        <w:jc w:val="left"/>
        <w:tblLayout w:type="fixed"/>
      </w:tblPr>
      <w:tblGrid>
        <w:gridCol w:w="1560"/>
        <w:gridCol w:w="374"/>
        <w:gridCol w:w="370"/>
        <w:gridCol w:w="494"/>
        <w:gridCol w:w="490"/>
        <w:gridCol w:w="370"/>
        <w:gridCol w:w="494"/>
        <w:gridCol w:w="576"/>
        <w:gridCol w:w="533"/>
        <w:gridCol w:w="595"/>
      </w:tblGrid>
      <w:tr>
        <w:trPr>
          <w:trHeight w:val="278" w:hRule="exact"/>
        </w:trPr>
        <w:tc>
          <w:tcPr>
            <w:vMerge w:val="restart"/>
            <w:tcBorders>
              <w:top w:val="single" w:sz="4"/>
              <w:left w:val="single" w:sz="4"/>
            </w:tcBorders>
            <w:shd w:val="clear" w:color="auto" w:fill="FFFFFF"/>
            <w:vAlign w:val="center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46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Параметр</w:t>
            </w:r>
          </w:p>
        </w:tc>
        <w:tc>
          <w:tcPr>
            <w:gridSpan w:val="9"/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Криві па рис. 3</w:t>
            </w:r>
          </w:p>
        </w:tc>
      </w:tr>
      <w:tr>
        <w:trPr>
          <w:trHeight w:val="240" w:hRule="exact"/>
        </w:trPr>
        <w:tc>
          <w:tcPr>
            <w:vMerge/>
            <w:tcBorders>
              <w:left w:val="single" w:sz="4"/>
            </w:tcBorders>
            <w:shd w:val="clear" w:color="auto" w:fill="FFFFFF"/>
            <w:vAlign w:val="center"/>
          </w:tcPr>
          <w:p>
            <w:pPr>
              <w:framePr w:w="5856" w:h="1128" w:wrap="none" w:vAnchor="page" w:hAnchor="page" w:x="500" w:y="8724"/>
            </w:pP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1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2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3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6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7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8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9</w:t>
            </w:r>
          </w:p>
        </w:tc>
      </w:tr>
      <w:tr>
        <w:trPr>
          <w:trHeight w:val="197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Вид палива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24"/>
                <w:szCs w:val="24"/>
              </w:rPr>
            </w:pPr>
            <w:r>
              <w:rPr>
                <w:i/>
                <w:iCs/>
                <w:color w:val="000000"/>
                <w:spacing w:val="0"/>
                <w:w w:val="100"/>
                <w:position w:val="0"/>
                <w:sz w:val="24"/>
                <w:szCs w:val="24"/>
              </w:rPr>
              <w:t>Ж..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ДГ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К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ДГ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ДГ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</w:pPr>
            <w:r>
              <w:rPr>
                <w:color w:val="000000"/>
                <w:spacing w:val="0"/>
                <w:w w:val="100"/>
                <w:position w:val="0"/>
              </w:rPr>
              <w:t>ДГ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ДГ</w:t>
            </w:r>
          </w:p>
        </w:tc>
      </w:tr>
      <w:tr>
        <w:trPr>
          <w:trHeight w:val="197" w:hRule="exact"/>
        </w:trPr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Розмір часток 6, см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5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4</w:t>
            </w:r>
          </w:p>
        </w:tc>
        <w:tc>
          <w:tcPr>
            <w:tcBorders>
              <w:top w:val="single" w:sz="4"/>
              <w:lef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4</w:t>
            </w:r>
          </w:p>
        </w:tc>
        <w:tc>
          <w:tcPr>
            <w:tcBorders>
              <w:top w:val="single" w:sz="4"/>
              <w:left w:val="single" w:sz="4"/>
              <w:right w:val="single" w:sz="4"/>
            </w:tcBorders>
            <w:shd w:val="clear" w:color="auto" w:fill="FFFFFF"/>
            <w:vAlign w:val="bottom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4</w:t>
            </w:r>
          </w:p>
        </w:tc>
      </w:tr>
      <w:tr>
        <w:trPr>
          <w:trHeight w:val="216" w:hRule="exact"/>
        </w:trPr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Швидкість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 xml:space="preserve">W, </w:t>
            </w: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м/с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0,3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0,3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0.35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0.35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0,4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0.4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0,3</w:t>
            </w:r>
          </w:p>
        </w:tc>
        <w:tc>
          <w:tcPr>
            <w:tcBorders>
              <w:top w:val="single" w:sz="4"/>
              <w:left w:val="single" w:sz="4"/>
              <w:bottom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0.35</w:t>
            </w:r>
          </w:p>
        </w:tc>
        <w:tc>
          <w:tcPr>
            <w:tcBorders>
              <w:top w:val="single" w:sz="4"/>
              <w:left w:val="single" w:sz="4"/>
              <w:bottom w:val="single" w:sz="4"/>
              <w:right w:val="single" w:sz="4"/>
            </w:tcBorders>
            <w:shd w:val="clear" w:color="auto" w:fill="FFFFFF"/>
            <w:vAlign w:val="top"/>
          </w:tcPr>
          <w:p>
            <w:pPr>
              <w:pStyle w:val="Style6"/>
              <w:keepNext w:val="0"/>
              <w:keepLines w:val="0"/>
              <w:framePr w:w="5856" w:h="1128" w:wrap="none" w:vAnchor="page" w:hAnchor="page" w:x="500" w:y="8724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sz w:val="16"/>
                <w:szCs w:val="16"/>
              </w:rPr>
            </w:pPr>
            <w:r>
              <w:rPr>
                <w:color w:val="000000"/>
                <w:spacing w:val="0"/>
                <w:w w:val="100"/>
                <w:position w:val="0"/>
                <w:sz w:val="16"/>
                <w:szCs w:val="16"/>
              </w:rPr>
              <w:t>0.4</w:t>
            </w:r>
          </w:p>
        </w:tc>
      </w:tr>
    </w:tbl>
    <w:p>
      <w:pPr>
        <w:pStyle w:val="Style15"/>
        <w:keepNext w:val="0"/>
        <w:keepLines w:val="0"/>
        <w:framePr w:wrap="none" w:vAnchor="page" w:hAnchor="page" w:x="1431" w:y="10198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>Вентиляція. освітлення ти теплогазопостачання. Віт. 16, 2012</w:t>
      </w:r>
    </w:p>
    <w:p>
      <w:pPr>
        <w:pStyle w:val="Style15"/>
        <w:keepNext w:val="0"/>
        <w:keepLines w:val="0"/>
        <w:framePr w:wrap="none" w:vAnchor="page" w:hAnchor="page" w:x="6337" w:y="1021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6"/>
          <w:szCs w:val="16"/>
        </w:rPr>
      </w:pPr>
      <w:r>
        <w:rPr>
          <w:i w:val="0"/>
          <w:iCs w:val="0"/>
          <w:color w:val="000000"/>
          <w:spacing w:val="0"/>
          <w:w w:val="100"/>
          <w:position w:val="0"/>
          <w:sz w:val="16"/>
          <w:szCs w:val="16"/>
        </w:rPr>
        <w:t>51</w:t>
      </w:r>
    </w:p>
    <w:p>
      <w:pPr>
        <w:widowControl w:val="0"/>
        <w:spacing w:line="1" w:lineRule="exact"/>
        <w:sectPr>
          <w:footnotePr>
            <w:pos w:val="pageBottom"/>
            <w:numFmt w:val="decimal"/>
            <w:numRestart w:val="continuous"/>
          </w:footnotePr>
          <w:pgSz w:w="7027" w:h="10723"/>
          <w:pgMar w:top="360" w:right="360" w:bottom="360" w:left="360" w:header="0" w:footer="3" w:gutter="0"/>
          <w:cols w:space="720"/>
          <w:noEndnote/>
          <w:rtlGutter w:val="0"/>
          <w:docGrid w:linePitch="360"/>
        </w:sectPr>
      </w:pPr>
    </w:p>
    <w:p>
      <w:pPr>
        <w:widowControl w:val="0"/>
        <w:spacing w:line="1" w:lineRule="exact"/>
      </w:pPr>
      <w:r/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shd w:val="clear" w:color="auto" w:fill="auto"/>
        <w:bidi w:val="0"/>
        <w:spacing w:before="0" w:after="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Так, при </w:t>
      </w:r>
      <w:r>
        <w:rPr>
          <w:color w:val="000000"/>
          <w:spacing w:val="0"/>
          <w:w w:val="100"/>
          <w:position w:val="0"/>
        </w:rPr>
        <w:t xml:space="preserve">наведених умовах </w:t>
      </w:r>
      <w:r>
        <w:rPr>
          <w:color w:val="000000"/>
          <w:spacing w:val="0"/>
          <w:w w:val="100"/>
          <w:position w:val="0"/>
        </w:rPr>
        <w:t xml:space="preserve">та </w:t>
      </w:r>
      <w:r>
        <w:rPr>
          <w:color w:val="000000"/>
          <w:spacing w:val="0"/>
          <w:w w:val="100"/>
          <w:position w:val="0"/>
        </w:rPr>
        <w:t xml:space="preserve">швидкості дуття </w:t>
      </w:r>
      <w:r>
        <w:rPr>
          <w:color w:val="000000"/>
          <w:spacing w:val="0"/>
          <w:w w:val="100"/>
          <w:position w:val="0"/>
        </w:rPr>
        <w:t xml:space="preserve">w </w:t>
      </w:r>
      <w:r>
        <w:rPr>
          <w:color w:val="000000"/>
          <w:spacing w:val="0"/>
          <w:w w:val="100"/>
          <w:position w:val="0"/>
        </w:rPr>
        <w:t xml:space="preserve">= 0,3 </w:t>
      </w:r>
      <w:r>
        <w:rPr>
          <w:color w:val="000000"/>
          <w:spacing w:val="0"/>
          <w:w w:val="100"/>
          <w:position w:val="0"/>
        </w:rPr>
        <w:t xml:space="preserve">м/с </w:t>
      </w:r>
      <w:r>
        <w:rPr>
          <w:color w:val="000000"/>
          <w:spacing w:val="0"/>
          <w:w w:val="100"/>
          <w:position w:val="0"/>
        </w:rPr>
        <w:t>швидкість горіння коксу в шарі - 170 • 10'</w:t>
      </w:r>
      <w:r>
        <w:rPr>
          <w:color w:val="000000"/>
          <w:spacing w:val="0"/>
          <w:w w:val="100"/>
          <w:position w:val="0"/>
          <w:vertAlign w:val="superscript"/>
        </w:rPr>
        <w:t>6</w:t>
      </w:r>
      <w:r>
        <w:rPr>
          <w:color w:val="000000"/>
          <w:spacing w:val="0"/>
          <w:w w:val="100"/>
          <w:position w:val="0"/>
        </w:rPr>
        <w:t xml:space="preserve"> г/(см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>с, а швидкість горіння довгополум’яного газового вугілля в шарі — 450 • 10’</w:t>
      </w:r>
      <w:r>
        <w:rPr>
          <w:color w:val="000000"/>
          <w:spacing w:val="0"/>
          <w:w w:val="100"/>
          <w:position w:val="0"/>
          <w:vertAlign w:val="superscript"/>
        </w:rPr>
        <w:t>6</w:t>
      </w:r>
      <w:r>
        <w:rPr>
          <w:color w:val="000000"/>
          <w:spacing w:val="0"/>
          <w:w w:val="100"/>
          <w:position w:val="0"/>
        </w:rPr>
        <w:t xml:space="preserve"> г/(см</w:t>
      </w:r>
      <w:r>
        <w:rPr>
          <w:color w:val="000000"/>
          <w:spacing w:val="0"/>
          <w:w w:val="100"/>
          <w:position w:val="0"/>
          <w:vertAlign w:val="superscript"/>
        </w:rPr>
        <w:t>2</w:t>
      </w:r>
      <w:r>
        <w:rPr>
          <w:color w:val="000000"/>
          <w:spacing w:val="0"/>
          <w:w w:val="100"/>
          <w:position w:val="0"/>
        </w:rPr>
        <w:t xml:space="preserve">с. Розміри зони горіння топкового пристрою приймаються на підставі результатів розрахунків процесу спалювання палива з урахуванням нормативних теплонапружень дзеркала горіння та топкового об’єму </w:t>
      </w:r>
      <w:r>
        <w:rPr>
          <w:color w:val="000000"/>
          <w:spacing w:val="0"/>
          <w:w w:val="100"/>
          <w:position w:val="0"/>
        </w:rPr>
        <w:t>[Тепловой расчет котлов. Нормативный метод. - Санкт-Петербург: РАО «ЕЭС России». 1998.-с. 257].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shd w:val="clear" w:color="auto" w:fill="auto"/>
        <w:bidi w:val="0"/>
        <w:spacing w:before="0" w:after="440" w:line="240" w:lineRule="auto"/>
        <w:ind w:left="0" w:right="0"/>
        <w:jc w:val="both"/>
      </w:pPr>
      <w:r>
        <w:rPr>
          <w:color w:val="000000"/>
          <w:spacing w:val="0"/>
          <w:w w:val="100"/>
          <w:position w:val="0"/>
        </w:rPr>
        <w:t xml:space="preserve">Для уточнения методики </w:t>
      </w:r>
      <w:r>
        <w:rPr>
          <w:color w:val="000000"/>
          <w:spacing w:val="0"/>
          <w:w w:val="100"/>
          <w:position w:val="0"/>
        </w:rPr>
        <w:t xml:space="preserve">розрахунку горіння </w:t>
      </w:r>
      <w:r>
        <w:rPr>
          <w:color w:val="000000"/>
          <w:spacing w:val="0"/>
          <w:w w:val="100"/>
          <w:position w:val="0"/>
        </w:rPr>
        <w:t xml:space="preserve">торфу в </w:t>
      </w:r>
      <w:r>
        <w:rPr>
          <w:color w:val="000000"/>
          <w:spacing w:val="0"/>
          <w:w w:val="100"/>
          <w:position w:val="0"/>
        </w:rPr>
        <w:t xml:space="preserve">шарі необхідно </w:t>
      </w:r>
      <w:r>
        <w:rPr>
          <w:color w:val="000000"/>
          <w:spacing w:val="0"/>
          <w:w w:val="100"/>
          <w:position w:val="0"/>
        </w:rPr>
        <w:t xml:space="preserve">провести </w:t>
      </w:r>
      <w:r>
        <w:rPr>
          <w:color w:val="000000"/>
          <w:spacing w:val="0"/>
          <w:w w:val="100"/>
          <w:position w:val="0"/>
        </w:rPr>
        <w:t xml:space="preserve">додаткові дослідження </w:t>
      </w:r>
      <w:r>
        <w:rPr>
          <w:color w:val="000000"/>
          <w:spacing w:val="0"/>
          <w:w w:val="100"/>
          <w:position w:val="0"/>
        </w:rPr>
        <w:t xml:space="preserve">по </w:t>
      </w:r>
      <w:r>
        <w:rPr>
          <w:color w:val="000000"/>
          <w:spacing w:val="0"/>
          <w:w w:val="100"/>
          <w:position w:val="0"/>
        </w:rPr>
        <w:t>визначенню швидкості горіння торфу при різних конструктивних і режимних параметрах зони горіння.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center"/>
      </w:pPr>
      <w:r>
        <w:rPr>
          <w:b/>
          <w:bCs/>
          <w:i/>
          <w:iCs/>
          <w:color w:val="000000"/>
          <w:spacing w:val="0"/>
          <w:w w:val="100"/>
          <w:position w:val="0"/>
        </w:rPr>
        <w:t>Висновки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3"/>
        </w:numPr>
        <w:shd w:val="clear" w:color="auto" w:fill="auto"/>
        <w:tabs>
          <w:tab w:pos="626" w:val="left"/>
        </w:tabs>
        <w:bidi w:val="0"/>
        <w:spacing w:before="0" w:after="0" w:line="240" w:lineRule="auto"/>
        <w:ind w:left="0" w:right="0"/>
        <w:jc w:val="both"/>
      </w:pPr>
      <w:bookmarkStart w:id="4" w:name="bookmark4"/>
      <w:bookmarkEnd w:id="4"/>
      <w:r>
        <w:rPr>
          <w:color w:val="000000"/>
          <w:spacing w:val="0"/>
          <w:w w:val="100"/>
          <w:position w:val="0"/>
        </w:rPr>
        <w:t>Ресурси торфу в Україні становлять великий енергетичний потенціал, тому розвиток вітчизняної торф’яної промисловості та серійне виробництво теплогенераторів на торфі для систем теплопостачання є перспективним напрямком розвитку паливно- енергетичного комплексу.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3"/>
        </w:numPr>
        <w:shd w:val="clear" w:color="auto" w:fill="auto"/>
        <w:tabs>
          <w:tab w:pos="626" w:val="left"/>
        </w:tabs>
        <w:bidi w:val="0"/>
        <w:spacing w:before="0" w:after="440" w:line="240" w:lineRule="auto"/>
        <w:ind w:left="0" w:right="0"/>
        <w:jc w:val="both"/>
      </w:pPr>
      <w:bookmarkStart w:id="5" w:name="bookmark5"/>
      <w:bookmarkEnd w:id="5"/>
      <w:r>
        <w:rPr>
          <w:color w:val="000000"/>
          <w:spacing w:val="0"/>
          <w:w w:val="100"/>
          <w:position w:val="0"/>
        </w:rPr>
        <w:t>Розробка конструкції топкових пристроїв для ефективного спалювання торфу базується на методиці розрахунку процесу горіння твердого палива, яка потребує уточнення по швидкості горіїгая торфу в шарі.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shd w:val="clear" w:color="auto" w:fill="auto"/>
        <w:bidi w:val="0"/>
        <w:spacing w:before="0" w:after="200" w:line="240" w:lineRule="auto"/>
        <w:ind w:left="0" w:right="0" w:firstLine="0"/>
        <w:jc w:val="center"/>
      </w:pPr>
      <w:r>
        <w:rPr>
          <w:b/>
          <w:bCs/>
          <w:color w:val="000000"/>
          <w:spacing w:val="0"/>
          <w:w w:val="100"/>
          <w:position w:val="0"/>
        </w:rPr>
        <w:t>Список літератури: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5"/>
        </w:numPr>
        <w:shd w:val="clear" w:color="auto" w:fill="auto"/>
        <w:tabs>
          <w:tab w:pos="183" w:val="left"/>
        </w:tabs>
        <w:bidi w:val="0"/>
        <w:spacing w:before="0" w:after="0" w:line="240" w:lineRule="auto"/>
        <w:ind w:left="0" w:right="0" w:firstLine="0"/>
        <w:jc w:val="both"/>
      </w:pPr>
      <w:bookmarkStart w:id="6" w:name="bookmark6"/>
      <w:bookmarkEnd w:id="6"/>
      <w:r>
        <w:rPr>
          <w:color w:val="000000"/>
          <w:spacing w:val="0"/>
          <w:w w:val="100"/>
          <w:position w:val="0"/>
        </w:rPr>
        <w:t>Вербинський В.В., Земляний М.Г. Регіональна енергетична політика України: цілі та шляхи реалізації/Збірник Національного інституту стратегічних досліджень. - Дніпропетровськ, 2003. - 64 с.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5"/>
        </w:numPr>
        <w:shd w:val="clear" w:color="auto" w:fill="auto"/>
        <w:tabs>
          <w:tab w:pos="222" w:val="left"/>
        </w:tabs>
        <w:bidi w:val="0"/>
        <w:spacing w:before="0" w:after="0" w:line="240" w:lineRule="auto"/>
        <w:ind w:left="0" w:right="0" w:firstLine="0"/>
        <w:jc w:val="both"/>
      </w:pPr>
      <w:bookmarkStart w:id="7" w:name="bookmark7"/>
      <w:bookmarkEnd w:id="7"/>
      <w:r>
        <w:rPr>
          <w:color w:val="000000"/>
          <w:spacing w:val="0"/>
          <w:w w:val="100"/>
          <w:position w:val="0"/>
        </w:rPr>
        <w:t xml:space="preserve">Основы практической теории горения / Померанцев В.В., Арефьев К.М., Ахмедов Д.Б. и др. - Л.: Энергоатомиздат, 1986. - </w:t>
      </w:r>
      <w:r>
        <w:rPr>
          <w:color w:val="000000"/>
          <w:spacing w:val="0"/>
          <w:w w:val="100"/>
          <w:position w:val="0"/>
        </w:rPr>
        <w:t>3</w:t>
      </w:r>
      <w:r>
        <w:rPr>
          <w:color w:val="000000"/>
          <w:spacing w:val="0"/>
          <w:w w:val="100"/>
          <w:position w:val="0"/>
        </w:rPr>
        <w:t>12 с.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5"/>
        </w:numPr>
        <w:shd w:val="clear" w:color="auto" w:fill="auto"/>
        <w:tabs>
          <w:tab w:pos="222" w:val="left"/>
        </w:tabs>
        <w:bidi w:val="0"/>
        <w:spacing w:before="0" w:after="0" w:line="240" w:lineRule="auto"/>
        <w:ind w:left="0" w:right="0" w:firstLine="0"/>
        <w:jc w:val="both"/>
      </w:pPr>
      <w:bookmarkStart w:id="8" w:name="bookmark8"/>
      <w:bookmarkEnd w:id="8"/>
      <w:r>
        <w:rPr>
          <w:color w:val="000000"/>
          <w:spacing w:val="0"/>
          <w:w w:val="100"/>
          <w:position w:val="0"/>
        </w:rPr>
        <w:t xml:space="preserve">Макаров А.С., Сенчук М.П. </w:t>
      </w:r>
      <w:r>
        <w:rPr>
          <w:color w:val="000000"/>
          <w:spacing w:val="0"/>
          <w:w w:val="100"/>
          <w:position w:val="0"/>
        </w:rPr>
        <w:t xml:space="preserve">Сучасне енергозберігаюче обладнання </w:t>
      </w:r>
      <w:r>
        <w:rPr>
          <w:color w:val="000000"/>
          <w:spacing w:val="0"/>
          <w:w w:val="100"/>
          <w:position w:val="0"/>
        </w:rPr>
        <w:t xml:space="preserve">для </w:t>
      </w:r>
      <w:r>
        <w:rPr>
          <w:color w:val="000000"/>
          <w:spacing w:val="0"/>
          <w:w w:val="100"/>
          <w:position w:val="0"/>
        </w:rPr>
        <w:t>опалювальних котелень/ Будівельні матеріали, вироби та санітарна техніка. - 2002. -№ 17.-С. 91-92.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5"/>
        </w:numPr>
        <w:shd w:val="clear" w:color="auto" w:fill="auto"/>
        <w:tabs>
          <w:tab w:pos="226" w:val="left"/>
        </w:tabs>
        <w:bidi w:val="0"/>
        <w:spacing w:before="0" w:after="0" w:line="240" w:lineRule="auto"/>
        <w:ind w:left="0" w:right="0" w:firstLine="0"/>
        <w:jc w:val="both"/>
      </w:pPr>
      <w:bookmarkStart w:id="9" w:name="bookmark9"/>
      <w:bookmarkEnd w:id="9"/>
      <w:r>
        <w:rPr>
          <w:color w:val="000000"/>
          <w:spacing w:val="0"/>
          <w:w w:val="100"/>
          <w:position w:val="0"/>
        </w:rPr>
        <w:t>Сенчук М.П., Макаров А.С., Астаф’єва М.М. Вигоряння твердого палива у топкових пристроях з поперечною схемою живлення шару/ Будівельні матеріали, вироби та санітарна техніка. - 2000. - № 15. - С. 120-124.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numPr>
          <w:ilvl w:val="0"/>
          <w:numId w:val="5"/>
        </w:numPr>
        <w:shd w:val="clear" w:color="auto" w:fill="auto"/>
        <w:tabs>
          <w:tab w:pos="226" w:val="left"/>
        </w:tabs>
        <w:bidi w:val="0"/>
        <w:spacing w:before="0" w:after="200" w:line="240" w:lineRule="auto"/>
        <w:ind w:left="0" w:right="0" w:firstLine="0"/>
        <w:jc w:val="both"/>
      </w:pPr>
      <w:bookmarkStart w:id="10" w:name="bookmark10"/>
      <w:bookmarkEnd w:id="10"/>
      <w:r>
        <w:rPr>
          <w:color w:val="000000"/>
          <w:spacing w:val="0"/>
          <w:w w:val="100"/>
          <w:position w:val="0"/>
        </w:rPr>
        <w:t xml:space="preserve">Хзмалян Д.М. </w:t>
      </w:r>
      <w:r>
        <w:rPr>
          <w:color w:val="000000"/>
          <w:spacing w:val="0"/>
          <w:w w:val="100"/>
          <w:position w:val="0"/>
        </w:rPr>
        <w:t>Теория топочных процессов: Учебное пособие для вузов. - М.: Энергоатомиздат, 1990. - 332 с.</w:t>
      </w:r>
    </w:p>
    <w:p>
      <w:pPr>
        <w:pStyle w:val="Style12"/>
        <w:keepNext w:val="0"/>
        <w:keepLines w:val="0"/>
        <w:framePr w:w="6091" w:h="9720" w:hRule="exact" w:wrap="none" w:vAnchor="page" w:hAnchor="page" w:x="505" w:y="310"/>
        <w:widowControl w:val="0"/>
        <w:shd w:val="clear" w:color="auto" w:fill="auto"/>
        <w:tabs>
          <w:tab w:pos="2376" w:val="left"/>
        </w:tabs>
        <w:bidi w:val="0"/>
        <w:spacing w:before="0" w:after="0" w:line="240" w:lineRule="auto"/>
        <w:ind w:left="0" w:right="0" w:firstLine="360"/>
        <w:jc w:val="both"/>
      </w:pPr>
      <w:r>
        <w:rPr>
          <w:color w:val="000000"/>
          <w:spacing w:val="0"/>
          <w:w w:val="100"/>
          <w:position w:val="0"/>
        </w:rPr>
        <w:t xml:space="preserve">Надійшла </w:t>
      </w:r>
      <w:r>
        <w:rPr>
          <w:color w:val="000000"/>
          <w:spacing w:val="0"/>
          <w:w w:val="100"/>
          <w:position w:val="0"/>
        </w:rPr>
        <w:t xml:space="preserve">до </w:t>
      </w:r>
      <w:r>
        <w:rPr>
          <w:color w:val="000000"/>
          <w:spacing w:val="0"/>
          <w:w w:val="100"/>
          <w:position w:val="0"/>
        </w:rPr>
        <w:t>редакції</w:t>
        <w:tab/>
      </w:r>
      <w:r>
        <w:rPr>
          <w:color w:val="000000"/>
          <w:spacing w:val="0"/>
          <w:w w:val="100"/>
          <w:position w:val="0"/>
        </w:rPr>
        <w:t>24.10.2012р.</w:t>
      </w:r>
    </w:p>
    <w:p>
      <w:pPr>
        <w:pStyle w:val="Style15"/>
        <w:keepNext w:val="0"/>
        <w:keepLines w:val="0"/>
        <w:framePr w:wrap="none" w:vAnchor="page" w:hAnchor="page" w:x="495" w:y="10203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  <w:rPr>
          <w:sz w:val="16"/>
          <w:szCs w:val="16"/>
        </w:rPr>
      </w:pPr>
      <w:r>
        <w:rPr>
          <w:i w:val="0"/>
          <w:iCs w:val="0"/>
          <w:color w:val="000000"/>
          <w:spacing w:val="0"/>
          <w:w w:val="100"/>
          <w:position w:val="0"/>
          <w:sz w:val="16"/>
          <w:szCs w:val="16"/>
        </w:rPr>
        <w:t>52</w:t>
      </w:r>
    </w:p>
    <w:p>
      <w:pPr>
        <w:pStyle w:val="Style15"/>
        <w:keepNext w:val="0"/>
        <w:keepLines w:val="0"/>
        <w:framePr w:wrap="none" w:vAnchor="page" w:hAnchor="page" w:x="1426" w:y="10207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  <w:r>
        <w:rPr>
          <w:color w:val="000000"/>
          <w:spacing w:val="0"/>
          <w:w w:val="100"/>
          <w:position w:val="0"/>
        </w:rPr>
        <w:t xml:space="preserve">Вентиляція, освітлення </w:t>
      </w:r>
      <w:r>
        <w:rPr>
          <w:color w:val="000000"/>
          <w:spacing w:val="0"/>
          <w:w w:val="100"/>
          <w:position w:val="0"/>
        </w:rPr>
        <w:t xml:space="preserve">та теплогазопостачаиня. </w:t>
      </w:r>
      <w:r>
        <w:rPr>
          <w:color w:val="000000"/>
          <w:spacing w:val="0"/>
          <w:w w:val="100"/>
          <w:position w:val="0"/>
        </w:rPr>
        <w:t xml:space="preserve">Bun. </w:t>
      </w:r>
      <w:r>
        <w:rPr>
          <w:color w:val="000000"/>
          <w:spacing w:val="0"/>
          <w:w w:val="100"/>
          <w:position w:val="0"/>
        </w:rPr>
        <w:t>16. 2012</w:t>
      </w:r>
    </w:p>
    <w:p>
      <w:pPr>
        <w:widowControl w:val="0"/>
        <w:spacing w:line="1" w:lineRule="exact"/>
      </w:pPr>
    </w:p>
    <w:sectPr>
      <w:footnotePr>
        <w:pos w:val="pageBottom"/>
        <w:numFmt w:val="decimal"/>
        <w:numRestart w:val="continuous"/>
      </w:footnotePr>
      <w:pgSz w:w="7027" w:h="10723"/>
      <w:pgMar w:top="360" w:right="360" w:bottom="360" w:left="360" w:header="0" w:footer="3" w:gutter="0"/>
      <w:cols w:space="720"/>
      <w:noEndnote/>
      <w:rtlGutter w:val="0"/>
      <w:docGrid w:linePitch="360"/>
    </w:sectPr>
  </w:body>
</w:document>
</file>

<file path=word/footnotes.xml><?xml version="1.0" encoding="utf-8"?>
<w:footnot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footnote w:id="0" w:type="separator">
    <w:p>
      <w:r/>
    </w:p>
  </w:footnote>
  <w:footnote w:id="1" w:type="continuationSeparator">
    <w:p>
      <w:r/>
    </w:p>
  </w:footnote>
</w:footnotes>
</file>

<file path=word/numbering.xml><?xml version="1.0" encoding="utf-8"?>
<w:numbering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abstractNum w:abstractNumId="0">
    <w:multiLevelType w:val="multilevel"/>
    <w:lvl w:ilvl="0">
      <w:start w:val="1"/>
      <w:numFmt w:val="bullet"/>
      <w:lvlText w:val="-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</w:rPr>
    </w:lvl>
  </w:abstractNum>
  <w:abstractNum w:abstractNumId="2">
    <w:multiLevelType w:val="multilevel"/>
    <w:lvl w:ilvl="0">
      <w:start w:val="1"/>
      <w:numFmt w:val="decimal"/>
      <w:lvlText w:val="%1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</w:rPr>
    </w:lvl>
  </w:abstractNum>
  <w:abstractNum w:abstractNumId="4">
    <w:multiLevelType w:val="multilevel"/>
    <w:lvl w:ilvl="0">
      <w:start w:val="1"/>
      <w:numFmt w:val="decimal"/>
      <w:lvlText w:val="%1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  <w:shd w:val="clear" w:color="auto" w:fill="auto"/>
      </w:rPr>
    </w:lvl>
  </w:abstractNum>
  <w:num w:numId="1">
    <w:abstractNumId w:val="0"/>
  </w:num>
  <w:num w:numId="3">
    <w:abstractNumId w:val="2"/>
  </w:num>
  <w:num w:numId="5">
    <w:abstractNumId w:val="4"/>
  </w:num>
</w:numbering>
</file>

<file path=word/settings.xml><?xml version="1.0" encoding="utf-8"?>
<w:setting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zoom w:val="fullPage"/>
  <w:drawingGridHorizontalSpacing w:val="181"/>
  <w:drawingGridVerticalSpacing w:val="181"/>
  <w:displayHorizontalDrawingGridEvery w:val="1"/>
  <w:displayVerticalDrawingGridEvery w:val="1"/>
  <w:characterSpacingControl w:val="compressPunctuation"/>
  <w:footnotePr>
    <w:pos w:val="pageBottom"/>
    <w:numFmt w:val="decimal"/>
    <w:numRestart w:val="continuous"/>
    <w:footnote w:id="0"/>
    <w:footnote w:id="1"/>
  </w:footnotePr>
  <w:compat>
    <w:doNotExpandShiftReturn/>
    <w:compatSetting w:name="compatibilityMode" w:uri="http://schemas.microsoft.com/office/word" w:val="15"/>
  </w:compat>
</w:settings>
</file>

<file path=word/styles.xml><?xml version="1.0" encoding="utf-8"?>
<w:styles xmlns:w="http://schemas.openxmlformats.org/wordprocessingml/2006/main" xmlns:r="http://schemas.openxmlformats.org/officeDocument/2006/relationships" xmlns:wp="http://schemas.openxmlformats.org/drawingml/2006/wordprocessingDrawing" xmlns:mc="http://schemas.openxmlformats.org/markup-compatibility/2006" xmlns:wps="http://schemas.microsoft.com/office/word/2010/wordprocessingShape" xmlns:wpg="http://schemas.microsoft.com/office/word/2010/wordprocessingGroup" xmlns:v="urn:schemas-microsoft-com:vml" xmlns:o="urn:schemas-microsoft-com:office:office" xmlns:w10="urn:schemas-microsoft-com:office:word">
  <w:docDefaults>
    <w:rPrDefault>
      <w:rPr>
        <w:rFonts w:ascii="Arial Unicode MS" w:eastAsia="Arial Unicode MS" w:hAnsi="Arial Unicode MS" w:cs="Arial Unicode MS"/>
        <w:sz w:val="24"/>
        <w:szCs w:val="24"/>
        <w:lang w:val="uk-UA" w:eastAsia="uk-UA" w:bidi="uk-UA"/>
      </w:rPr>
    </w:rPrDefault>
    <w:pPrDefault>
      <w:pPr>
        <w:keepNext w:val="0"/>
        <w:keepLines w:val="0"/>
        <w:widowControl w:val="0"/>
        <w:shd w:val="clear" w:color="auto" w:fill="auto"/>
        <w:bidi w:val="0"/>
        <w:spacing w:before="0" w:after="0" w:line="240" w:lineRule="auto"/>
        <w:ind w:left="0" w:right="0" w:firstLine="0"/>
        <w:jc w:val="left"/>
      </w:pPr>
    </w:pPrDefault>
  </w:docDefaults>
  <w:style w:type="paragraph" w:default="1" w:styleId="Normal">
    <w:name w:val="Normal"/>
    <w:pPr>
      <w:keepNext w:val="0"/>
      <w:keepLines w:val="0"/>
      <w:widowControl w:val="0"/>
      <w:shd w:val="clear" w:color="auto" w:fill="auto"/>
      <w:bidi w:val="0"/>
      <w:spacing w:before="0" w:after="0" w:line="240" w:lineRule="auto"/>
      <w:ind w:left="0" w:right="0" w:firstLine="0"/>
      <w:jc w:val="left"/>
    </w:pPr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default="1" w:styleId="DefaultParagraphFont">
    <w:name w:val="Default Paragraph Font"/>
    <w:rPr>
      <w:rFonts w:ascii="Arial Unicode MS" w:eastAsia="Arial Unicode MS" w:hAnsi="Arial Unicode MS" w:cs="Arial Unicode MS"/>
      <w:color w:val="000000"/>
      <w:spacing w:val="0"/>
      <w:w w:val="100"/>
      <w:position w:val="0"/>
      <w:sz w:val="24"/>
      <w:szCs w:val="24"/>
      <w:shd w:val="clear" w:color="auto" w:fill="auto"/>
    </w:rPr>
  </w:style>
  <w:style w:type="character" w:customStyle="1" w:styleId="CharStyle3">
    <w:name w:val="Колонтитул (2)_"/>
    <w:basedOn w:val="DefaultParagraphFont"/>
    <w:link w:val="Style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character" w:customStyle="1" w:styleId="CharStyle7">
    <w:name w:val="Другое_"/>
    <w:basedOn w:val="DefaultParagraphFont"/>
    <w:link w:val="Styl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shd w:val="clear" w:color="auto" w:fill="auto"/>
    </w:rPr>
  </w:style>
  <w:style w:type="character" w:customStyle="1" w:styleId="CharStyle11">
    <w:name w:val="Подпись к таблице_"/>
    <w:basedOn w:val="DefaultParagraphFont"/>
    <w:link w:val="Style10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  <w:shd w:val="clear" w:color="auto" w:fill="auto"/>
    </w:rPr>
  </w:style>
  <w:style w:type="character" w:customStyle="1" w:styleId="CharStyle13">
    <w:name w:val="Основной текст_"/>
    <w:basedOn w:val="DefaultParagraphFont"/>
    <w:link w:val="Style1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shd w:val="clear" w:color="auto" w:fill="auto"/>
    </w:rPr>
  </w:style>
  <w:style w:type="character" w:customStyle="1" w:styleId="CharStyle16">
    <w:name w:val="Колонтитул_"/>
    <w:basedOn w:val="DefaultParagraphFont"/>
    <w:link w:val="Style15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  <w:shd w:val="clear" w:color="auto" w:fill="auto"/>
    </w:rPr>
  </w:style>
  <w:style w:type="character" w:customStyle="1" w:styleId="CharStyle19">
    <w:name w:val="Подпись к картинке_"/>
    <w:basedOn w:val="DefaultParagraphFont"/>
    <w:link w:val="Style18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  <w:shd w:val="clear" w:color="auto" w:fill="auto"/>
    </w:rPr>
  </w:style>
  <w:style w:type="paragraph" w:customStyle="1" w:styleId="Style2">
    <w:name w:val="Колонтитул (2)"/>
    <w:basedOn w:val="Normal"/>
    <w:link w:val="CharStyle3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  <w:shd w:val="clear" w:color="auto" w:fill="auto"/>
    </w:rPr>
  </w:style>
  <w:style w:type="paragraph" w:customStyle="1" w:styleId="Style6">
    <w:name w:val="Другое"/>
    <w:basedOn w:val="Normal"/>
    <w:link w:val="CharStyle7"/>
    <w:pPr>
      <w:widowControl w:val="0"/>
      <w:shd w:val="clear" w:color="auto" w:fill="auto"/>
      <w:ind w:firstLine="38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shd w:val="clear" w:color="auto" w:fill="auto"/>
    </w:rPr>
  </w:style>
  <w:style w:type="paragraph" w:customStyle="1" w:styleId="Style10">
    <w:name w:val="Подпись к таблице"/>
    <w:basedOn w:val="Normal"/>
    <w:link w:val="CharStyle11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  <w:shd w:val="clear" w:color="auto" w:fill="auto"/>
    </w:rPr>
  </w:style>
  <w:style w:type="paragraph" w:customStyle="1" w:styleId="Style12">
    <w:name w:val="Основной текст"/>
    <w:basedOn w:val="Normal"/>
    <w:link w:val="CharStyle13"/>
    <w:pPr>
      <w:widowControl w:val="0"/>
      <w:shd w:val="clear" w:color="auto" w:fill="auto"/>
      <w:ind w:firstLine="380"/>
    </w:pPr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19"/>
      <w:szCs w:val="19"/>
      <w:u w:val="none"/>
      <w:shd w:val="clear" w:color="auto" w:fill="auto"/>
    </w:rPr>
  </w:style>
  <w:style w:type="paragraph" w:customStyle="1" w:styleId="Style15">
    <w:name w:val="Колонтитул"/>
    <w:basedOn w:val="Normal"/>
    <w:link w:val="CharStyle16"/>
    <w:pPr>
      <w:widowControl w:val="0"/>
      <w:shd w:val="clear" w:color="auto" w:fill="auto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5"/>
      <w:szCs w:val="15"/>
      <w:u w:val="none"/>
      <w:shd w:val="clear" w:color="auto" w:fill="auto"/>
    </w:rPr>
  </w:style>
  <w:style w:type="paragraph" w:customStyle="1" w:styleId="Style18">
    <w:name w:val="Подпись к картинке"/>
    <w:basedOn w:val="Normal"/>
    <w:link w:val="CharStyle19"/>
    <w:pPr>
      <w:widowControl w:val="0"/>
      <w:shd w:val="clear" w:color="auto" w:fill="auto"/>
      <w:spacing w:line="230" w:lineRule="auto"/>
      <w:jc w:val="center"/>
    </w:pPr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  <w:shd w:val="clear" w:color="auto" w:fill="auto"/>
    </w:rPr>
  </w:style>
</w:styles>
</file>

<file path=word/_rels/document.xml.rels>&#65279;<?xml version="1.0" encoding="UTF-8" standalone="yes"?>
<Relationships xmlns="http://schemas.openxmlformats.org/package/2006/relationships"><Relationship Id="rId1" Type="http://schemas.openxmlformats.org/officeDocument/2006/relationships/footnotes" Target="footnotes.xml"/><Relationship Id="rId2" Type="http://schemas.openxmlformats.org/officeDocument/2006/relationships/styles" Target="styles.xml"/><Relationship Id="rId3" Type="http://schemas.openxmlformats.org/officeDocument/2006/relationships/numbering" Target="numbering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1.jpeg" TargetMode="External"/><Relationship Id="rId7" Type="http://schemas.openxmlformats.org/officeDocument/2006/relationships/image" Target="media/image2.jpeg"/><Relationship Id="rId8" Type="http://schemas.openxmlformats.org/officeDocument/2006/relationships/image" Target="media/image2.jpeg" TargetMode="External"/><Relationship Id="rId9" Type="http://schemas.openxmlformats.org/officeDocument/2006/relationships/image" Target="media/image3.jpeg"/><Relationship Id="rId10" Type="http://schemas.openxmlformats.org/officeDocument/2006/relationships/image" Target="media/image3.jpeg" TargetMode="External"/></Relationships>
</file>