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456</w:t>
      </w:r>
    </w:p>
    <w:p>
      <w:pPr>
        <w:pStyle w:val="Style7"/>
        <w:keepNext w:val="0"/>
        <w:keepLines w:val="0"/>
        <w:framePr w:wrap="none" w:vAnchor="page" w:hAnchor="page" w:x="2313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696" w:h="13709" w:hRule="exact" w:wrap="none" w:vAnchor="page" w:hAnchor="page" w:x="1104" w:y="1456"/>
        <w:widowControl w:val="0"/>
        <w:shd w:val="clear" w:color="auto" w:fill="auto"/>
        <w:tabs>
          <w:tab w:pos="7987" w:val="left"/>
        </w:tabs>
        <w:bidi w:val="0"/>
        <w:spacing w:before="0" w:after="0"/>
        <w:ind w:left="0" w:right="0" w:firstLine="240"/>
        <w:jc w:val="both"/>
      </w:pPr>
      <w:r>
        <w:rPr>
          <w:color w:val="000000"/>
          <w:spacing w:val="0"/>
          <w:w w:val="100"/>
          <w:position w:val="0"/>
        </w:rPr>
        <w:t>УДК 725 . З . З 8 1</w:t>
        <w:tab/>
      </w:r>
      <w:r>
        <w:rPr>
          <w:b/>
          <w:bCs/>
          <w:color w:val="000000"/>
          <w:spacing w:val="0"/>
          <w:w w:val="100"/>
          <w:position w:val="0"/>
        </w:rPr>
        <w:t>М. В . Гарбар</w:t>
      </w:r>
    </w:p>
    <w:p>
      <w:pPr>
        <w:pStyle w:val="Style11"/>
        <w:keepNext w:val="0"/>
        <w:keepLines w:val="0"/>
        <w:framePr w:w="9696" w:h="13709" w:hRule="exact" w:wrap="none" w:vAnchor="page" w:hAnchor="page" w:x="1104" w:y="1456"/>
        <w:widowControl w:val="0"/>
        <w:shd w:val="clear" w:color="auto" w:fill="auto"/>
        <w:bidi w:val="0"/>
        <w:spacing w:before="0" w:after="340" w:line="269" w:lineRule="auto"/>
        <w:ind w:left="0" w:right="0" w:firstLine="0"/>
        <w:jc w:val="right"/>
        <w:rPr>
          <w:sz w:val="28"/>
          <w:szCs w:val="28"/>
        </w:rPr>
      </w:pP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асистент кафедри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ДАС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КНУБА</w:t>
      </w:r>
    </w:p>
    <w:p>
      <w:pPr>
        <w:pStyle w:val="Style15"/>
        <w:keepNext w:val="0"/>
        <w:keepLines w:val="0"/>
        <w:framePr w:w="9696" w:h="13709" w:hRule="exact" w:wrap="none" w:vAnchor="page" w:hAnchor="page" w:x="1104" w:y="1456"/>
        <w:widowControl w:val="0"/>
        <w:shd w:val="clear" w:color="auto" w:fill="auto"/>
        <w:bidi w:val="0"/>
        <w:spacing w:before="0"/>
        <w:ind w:left="0" w:right="0" w:firstLine="0"/>
        <w:jc w:val="center"/>
      </w:pPr>
      <w:bookmarkStart w:id="0" w:name="bookmark0"/>
      <w:bookmarkStart w:id="1" w:name="bookmark1"/>
      <w:bookmarkStart w:id="2" w:name="bookmark2"/>
      <w:r>
        <w:rPr>
          <w:color w:val="000000"/>
          <w:spacing w:val="0"/>
          <w:w w:val="100"/>
          <w:position w:val="0"/>
        </w:rPr>
        <w:t>ТИПОЛОГІЧНІ ОСОБЛИВОСТІ ГАРАЖІВ ДЛЯ ВЕЛОСИПЕДІВ</w:t>
      </w:r>
      <w:bookmarkEnd w:id="0"/>
      <w:bookmarkEnd w:id="1"/>
      <w:bookmarkEnd w:id="2"/>
    </w:p>
    <w:p>
      <w:pPr>
        <w:pStyle w:val="Style11"/>
        <w:keepNext w:val="0"/>
        <w:keepLines w:val="0"/>
        <w:framePr w:w="9696" w:h="1370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Анотація</w:t>
      </w:r>
      <w:r>
        <w:rPr>
          <w:color w:val="000000"/>
          <w:spacing w:val="0"/>
          <w:w w:val="100"/>
          <w:position w:val="0"/>
        </w:rPr>
        <w:t xml:space="preserve"> : в статті розглядаються характерні типи будівель , їх особливості та принципи формування в місті , функціонально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планувальну організацію гаражів для велосипедів .</w:t>
      </w:r>
    </w:p>
    <w:p>
      <w:pPr>
        <w:pStyle w:val="Style11"/>
        <w:keepNext w:val="0"/>
        <w:keepLines w:val="0"/>
        <w:framePr w:w="9696" w:h="13709" w:hRule="exact" w:wrap="none" w:vAnchor="page" w:hAnchor="page" w:x="1104" w:y="1456"/>
        <w:widowControl w:val="0"/>
        <w:shd w:val="clear" w:color="auto" w:fill="auto"/>
        <w:bidi w:val="0"/>
        <w:spacing w:before="0" w:after="34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</w:t>
      </w:r>
      <w:r>
        <w:rPr>
          <w:color w:val="000000"/>
          <w:spacing w:val="0"/>
          <w:w w:val="100"/>
          <w:position w:val="0"/>
        </w:rPr>
        <w:t xml:space="preserve"> : велосипедний транспорт, гаражі для велосипедів .</w:t>
      </w:r>
    </w:p>
    <w:p>
      <w:pPr>
        <w:pStyle w:val="Style11"/>
        <w:keepNext w:val="0"/>
        <w:keepLines w:val="0"/>
        <w:framePr w:w="9696" w:h="1370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Транспорт є головною артерією, яка забезпечує можливість життєдіяльності міста як цілісної системи . Із зростанням міста вимоги до міського транспорту збільшуються . В останні десятиріччя стрімко зросла кількість громадського та особистого автомобільного транспорту, що призвело до перевантаження основних міських мереж і в свою чергу пошуку вирішення проблеми транспортних пробок .</w:t>
      </w:r>
    </w:p>
    <w:p>
      <w:pPr>
        <w:pStyle w:val="Style11"/>
        <w:keepNext w:val="0"/>
        <w:keepLines w:val="0"/>
        <w:framePr w:w="9696" w:h="1370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Транспортні проблеми можливо вирішити різноманітними методами : зменшенням автомобільного транспорту та збільшенням різних видів громадського ; обмеженням чи закриттям доступу індивідуального транспорту в історичний центр міста; впорядкуванням руху, збільшенням транспортних мереж, побудова нових естакад, мостів, розв’язок тощо . Також для індивідуального транспорту є дуже важливим вирішення питання стоянок, тому що більшу частину доби він знаходиться в місцях тимчасового або постійного зберігання .</w:t>
      </w:r>
    </w:p>
    <w:p>
      <w:pPr>
        <w:pStyle w:val="Style11"/>
        <w:keepNext w:val="0"/>
        <w:keepLines w:val="0"/>
        <w:framePr w:w="9696" w:h="1370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Одним із напрямків покращення руху в міському середовищі є введення на окремих ділянках велосипедного транспорту як повноцінної одиниці . Велосипедний транспорт має декілька важливих переваг : екологічність , користь для здоров’я та потребує значно менших масштабів для застосування ніж інші види транспорту. Це вже досить давно зрозуміли більшість країн Європи , Азії та Північної Америки .</w:t>
      </w:r>
    </w:p>
    <w:p>
      <w:pPr>
        <w:pStyle w:val="Style11"/>
        <w:keepNext w:val="0"/>
        <w:keepLines w:val="0"/>
        <w:framePr w:w="9696" w:h="13709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Країни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лідери у використанні велосипедного транспорту проводили багаторічну програму розвитку та впровадження необхідних умов поліпшення міського середовища: збільшення кількості велосипедних доріжок, безпека їх розташування, розробка загальної транспортної схеми міста з позначенням місць велосипедних стоянок та гаражів , надання безоплатних муніципальних велосипедів , можливість перевезення велосипедів в метро тощо . Весь комплекс наданих послуг збільшив попит на використання велосипеду, що в свою чергу привело до необхідності збільшувати кількість та якість місць зберігання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09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4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457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Враховуючи існуючий досвід в галузі розвитку велосипедного транспорту для впровадження та використання в містах України доцільно комплексно розробити нові загальні транспортні схеми руху в місті з урахуванням велосипедного транспорту; визначити ділянки в містах, де велосипедний транспорт можливо зробити домінуючим ; окреслити місця, де споруди для велосипедів будуть необхідні та економічно виправдані . Здебільшого проблемою відсутності велосипедних доріжок, місць паркування в Україні займаються громадські організації , залучаючи до проблеми широку аудиторію ; як приклад , нещодавно об’явлений конкурс «Велопарковка 2 0 1 0 Київ»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[5]. </w:t>
      </w:r>
      <w:r>
        <w:rPr>
          <w:color w:val="000000"/>
          <w:spacing w:val="0"/>
          <w:w w:val="100"/>
          <w:position w:val="0"/>
        </w:rPr>
        <w:t>За останні роки в Києві все частіше підіймаються питання велосипедного транспорту, що доводить їх актуальність . Але підняття цієї проблеми має симптоматичний характер і досі не привело до єдиної програми вироблення основ для розробки та впровадження окремого типу споруд для велосипедів в сучасному українському місті .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Гаражі для велосипедів відносяться до громадських споруд , головними критеріями для класифікації яких є їхнє функціональне призначення , місткість , розташування у забудові , об’ємно - просторове вирішення та капітальність .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[1,4]. </w:t>
      </w:r>
      <w:r>
        <w:rPr>
          <w:color w:val="000000"/>
          <w:spacing w:val="0"/>
          <w:w w:val="100"/>
          <w:position w:val="0"/>
        </w:rPr>
        <w:t>Також здебільшого вони відповідають і класифікації транспортних споруд (автомобільних стоянок і гаражів) , але мають і свої особливості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Аналіз закордонного досвіду будівництва споруд для велосипедів , вивчення типологічних особливостей гаражів дозволив виявити характерні типи будівель , їх особливості та принципи формування, функціонально - планувальну організацію та прийоми об’ємно - просторових рішень цих споруд .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Гаражі займають окрему ланку серед загальної кількості споруд для велосипедів , мають найбільші розміри , виразний об’єм , який в свою чергу , разом із розташованими навколо об’єктами формують загальний вигляд окремих частин міста. При налагодженій транспортній системі міста із залученням велосипедного транспорту найчастіше виникають проблеми їх скупчення в місцях пересадки з громадського транспорту на велосипед чи навпаки , в місцях постійного зберігання чи тимчасових зупинок. Це в свою чергу призводить до необхідності їх упорядкування та будівництва споруд для зберігання .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Розміщення цих об’єктів визначається загальним комплексом містобудівних, економічних та транспортних факторів . Ці фактори диктують застосування необхідного типу споруди . Варіативність гаража для велосипедів дуже велика . Цьому сприяє досить невеликий модуль самого велосипеду та його вага , можливість розташування його в різних положеннях та рівнях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9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458</w:t>
      </w:r>
    </w:p>
    <w:p>
      <w:pPr>
        <w:pStyle w:val="Style7"/>
        <w:keepNext w:val="0"/>
        <w:keepLines w:val="0"/>
        <w:framePr w:wrap="none" w:vAnchor="page" w:hAnchor="page" w:x="2309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Здебільшого гаражі в місті розміщені в великих транспортно- пересадочних вузлах, в центрах міст, в житлових районах, в зонах відпочинку. Прикладами місця розташування гаражів для велосипедів в місті є : гараж на З 0 0 велосипедів поруч із залізничним вокзалом в Бремені , Німеччина; гараж на 9400 велосипедів поруч із залізничною станцією Касаі в Токіо , Японія ; гараж на З500 велосипедів, розміщений на каналі в західній стороні центрального залізничного вокзалу в центрі Амстердама , Нідерланди ; гараж на З 0 0 велосипедів в парку Міленіум в Чикаго , </w:t>
      </w:r>
      <w:r>
        <w:rPr>
          <w:color w:val="000000"/>
          <w:spacing w:val="0"/>
          <w:w w:val="100"/>
          <w:position w:val="0"/>
        </w:rPr>
        <w:t>США.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За характером архітектурно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планувального рішення гаражі для велосипедів поділяють на: окремо розташовані , прибудовані та вбудовані . Окрім окремо розташованих гаражів це можуть бути споруди в складі будівель транспортних станцій залізничних та автовокзалів , метро , в паркінгах разом з автомобілями , в складі громадських центрів , в житлових комплексах тощо .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За відношенням до відмітки поверхні землі гаражі поділяють на : наземні , підземні , напівпідземні чи комбіновані . Наземні гаражі можуть приймати участь в місто утворенні , підземні чи напівпідземні займати будь який вільний простір не придатний для інших споруд чи будівель .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За засобами переміщення велосипедів між поверхами бувають : рампові , механізовані та комбіновані . Гаражі для велосипедів з рамповими засобами переміщення найбільш розповсюджені, але в умовах стислих ділянок чи побудови гаражів великої та надвеликої місткості найкраще використовувати механізовані та комбіновані гаражі .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Підземні гаражі більш дорогі за собівартістю, але дають велику варіативність та можливість в використанні різних типів переміщення велосипедів . Це в свою чергу призводить до збільшення місткості гаража та використання різних планувальних рішень побудови. Як приклад комбінованого гаражу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гараж в Касаі, Токіо . Перший підземний рівень сполучається із землею за допомогою рамп та має декілька повністю автоматизованих шахт , на кожній із яких розміщуються до 1 8 0 велосипедів .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[2] </w:t>
      </w:r>
      <w:r>
        <w:rPr>
          <w:color w:val="000000"/>
          <w:spacing w:val="0"/>
          <w:w w:val="100"/>
          <w:position w:val="0"/>
        </w:rPr>
        <w:t xml:space="preserve">Цей вид паркування є самим безпечним та швидким , тому що зовсім відсутнє втручання людини . За місткістю гаражі для велосипедів можливо поділити на : малої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(1- 100 </w:t>
      </w:r>
      <w:r>
        <w:rPr>
          <w:color w:val="000000"/>
          <w:spacing w:val="0"/>
          <w:w w:val="100"/>
          <w:position w:val="0"/>
        </w:rPr>
        <w:t>місць) , середньої ( 1 00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500 місць) , великої (500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З000 місць) та надвеликої місткості (більше З000 місць) . [власний досвід]</w:t>
      </w:r>
    </w:p>
    <w:p>
      <w:pPr>
        <w:pStyle w:val="Style11"/>
        <w:keepNext w:val="0"/>
        <w:keepLines w:val="0"/>
        <w:framePr w:w="9706" w:h="14069" w:hRule="exact" w:wrap="none" w:vAnchor="page" w:hAnchor="page" w:x="1099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За планувальним рішенням : лінійного однорядного або багаторядного типу, криволінійного типу або комбінованого . Всі ці класифікаційні ознаки багато в чому пов’язані між собою . Вибір того або іншого типу споруди залежить від конкретних умов і в першу чергу від його призначення та місця розташування даного об’єкту в місті . Основні типологічні аспекти зібрані в схемі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09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34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459</w:t>
      </w:r>
    </w:p>
    <w:p>
      <w:pPr>
        <w:framePr w:wrap="none" w:vAnchor="page" w:hAnchor="page" w:x="1363" w:y="1763"/>
        <w:widowControl w:val="0"/>
        <w:rPr>
          <w:sz w:val="2"/>
          <w:szCs w:val="2"/>
        </w:rPr>
      </w:pPr>
      <w:r>
        <w:drawing>
          <wp:inline>
            <wp:extent cx="5687695" cy="7906385"/>
            <wp:docPr id="1" name="Picutr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5687695" cy="790638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460</w:t>
      </w:r>
    </w:p>
    <w:p>
      <w:pPr>
        <w:pStyle w:val="Style7"/>
        <w:keepNext w:val="0"/>
        <w:keepLines w:val="0"/>
        <w:framePr w:wrap="none" w:vAnchor="page" w:hAnchor="page" w:x="2311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1" w:h="1406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Гаражі для велосипедів можуть мати окрім головної функції також і другорядні . Здебільшого в гаражах середньої місткості можливо розміщувати приміщення додаткових функцій , таких як приміщення технічного обслуговування та ремонту, магазин велосипедів , блок приміщень санітарної гігієни відвідувачів , мсця відпочинку , а також об</w:t>
      </w:r>
      <w:r>
        <w:rPr>
          <w:color w:val="000000"/>
          <w:spacing w:val="0"/>
          <w:w w:val="100"/>
          <w:position w:val="0"/>
          <w:sz w:val="28"/>
          <w:szCs w:val="28"/>
        </w:rPr>
        <w:t>'</w:t>
      </w:r>
      <w:r>
        <w:rPr>
          <w:color w:val="000000"/>
          <w:spacing w:val="0"/>
          <w:w w:val="100"/>
          <w:position w:val="0"/>
        </w:rPr>
        <w:t>єднуватись з іншими видами громадських будівель .</w:t>
      </w:r>
    </w:p>
    <w:p>
      <w:pPr>
        <w:pStyle w:val="Style11"/>
        <w:keepNext w:val="0"/>
        <w:keepLines w:val="0"/>
        <w:framePr w:w="9701" w:h="1406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 xml:space="preserve">Як приклад гараж для велосипедів в парку Міленіум включає в себе місця для зберігання 300 велосипедів , шафи та душові для індивідуального використання, портативне кафе, прокат велосипедів та відділ велосипедної поліції Чикаго </w:t>
      </w:r>
      <w:r>
        <w:rPr>
          <w:color w:val="000000"/>
          <w:spacing w:val="0"/>
          <w:w w:val="100"/>
          <w:position w:val="0"/>
          <w:sz w:val="28"/>
          <w:szCs w:val="28"/>
        </w:rPr>
        <w:t>[3].</w:t>
      </w:r>
    </w:p>
    <w:p>
      <w:pPr>
        <w:pStyle w:val="Style11"/>
        <w:keepNext w:val="0"/>
        <w:keepLines w:val="0"/>
        <w:framePr w:w="9701" w:h="1406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Дана споруда, яка розташована в рекреаційній зоні , парку надає додаткові переваги для залучення широких вервст населення та людей різних вікових груп в місця відпочинку, які займають великі теріторії . Порівняно із середнім пішоходом для якого оптимальна є відстань 1 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 xml:space="preserve">2 км , для велосипедиста вона збільшується до 5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15 км .</w:t>
      </w:r>
    </w:p>
    <w:p>
      <w:pPr>
        <w:pStyle w:val="Style11"/>
        <w:keepNext w:val="0"/>
        <w:keepLines w:val="0"/>
        <w:framePr w:w="9701" w:h="1406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Легкість велосипеду порівняно із автомобілем дають йому велику перевагу в моделюванні внутрішнього простору гаражу. Можливість розміщення велосипеду в один , два і більше рівней , горизонтально або вертикально відносно поверхні землі , дають можливість поєднувати в одну споруду гаражі як для автомобілів так і для велосипедів . Такий змішаний тип споруд досить актуальний і використовує 2 типи модулів : 3 х 6 м - для авто та 0,6х 1 , 8 м - для велосипедів . Здебільшого в гаражах для авто є багато так званих ©мертвих зон»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місць , де неможливо розмістити машини : під рампами , на поворотах, під сходами , в кутах тощо . Ці місця досить успішно можна зайняти велосипедами , як в один так і в два рівні . В середньому на місці однієї машини можливо розмістити 1 0 велосипедів . Це дає можливість значно збільшити корисну площу такого гаражу .</w:t>
      </w:r>
    </w:p>
    <w:p>
      <w:pPr>
        <w:pStyle w:val="Style11"/>
        <w:keepNext w:val="0"/>
        <w:keepLines w:val="0"/>
        <w:framePr w:w="9701" w:h="1406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За конструктивним рішенням гаражі поділяють на капітальні будівлі та збірно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розбірні споруди , за типом огороджувальних конструкцій - відкриті та закриті . Легкість самого велосипеду дає можливість в будівництві гаражів широко використовувати металеві конструкції , які досить швидко збираються, довговічні та економічні</w:t>
      </w:r>
    </w:p>
    <w:p>
      <w:pPr>
        <w:pStyle w:val="Style11"/>
        <w:keepNext w:val="0"/>
        <w:keepLines w:val="0"/>
        <w:framePr w:w="9701" w:h="1406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Гаражі для велосипедів в світовому науковому досвіді успішно зайняли місце самостійної споруди ; проектуються, будуються і модернізуються, демонструючи динаміку розвитку. Вивчаючи їх типологічні аспекти , необхідно вибрати та впровадити в сучасне українське місто ті з них, які будуть найбільш сприйнятливі з містобудівної, економічної та архітектурної точки зору . Такі споруди вирішать проблему стоянок велосипедів в житлових та громадських місцях, та дадуть новий поштовх в використанні велосипедного транспорту.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1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3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461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ЛІТЕРАТУРА: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0" w:line="283" w:lineRule="auto"/>
        <w:ind w:left="720" w:right="0" w:hanging="72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 xml:space="preserve">Архітектурне проектування громадських будівель і споруд : Навч . посібник. </w:t>
      </w:r>
      <w:r>
        <w:rPr>
          <w:color w:val="000000"/>
          <w:spacing w:val="0"/>
          <w:w w:val="100"/>
          <w:position w:val="0"/>
        </w:rPr>
        <w:t xml:space="preserve">С </w:t>
      </w:r>
      <w:r>
        <w:rPr>
          <w:color w:val="000000"/>
          <w:spacing w:val="0"/>
          <w:w w:val="100"/>
          <w:position w:val="0"/>
        </w:rPr>
        <w:t>. М . Лінда, Львів : видавництво Нац . Університету ©Львівська політехника» , 2 0 1 0 .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0" w:line="269" w:lineRule="auto"/>
        <w:ind w:left="0" w:right="0" w:firstLine="0"/>
        <w:jc w:val="both"/>
        <w:rPr>
          <w:sz w:val="28"/>
          <w:szCs w:val="28"/>
        </w:rPr>
      </w:pPr>
      <w:r>
        <w:fldChar w:fldCharType="begin"/>
      </w:r>
      <w:r>
        <w:rPr/>
        <w:instrText> HYPERLINK "http://www.ecogawa.canalblog.com" </w:instrText>
      </w:r>
      <w:r>
        <w:fldChar w:fldCharType="separate"/>
      </w:r>
      <w:bookmarkStart w:id="4" w:name="bookmark4"/>
      <w:bookmarkEnd w:id="4"/>
      <w:r>
        <w:rPr>
          <w:color w:val="000000"/>
          <w:spacing w:val="0"/>
          <w:w w:val="100"/>
          <w:position w:val="0"/>
          <w:sz w:val="28"/>
          <w:szCs w:val="28"/>
          <w:u w:val="single"/>
        </w:rPr>
        <w:t>www.ecogawa.canalblog.com</w:t>
      </w:r>
      <w:r>
        <w:fldChar w:fldCharType="end"/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0" w:line="269" w:lineRule="auto"/>
        <w:ind w:left="0" w:right="0" w:firstLine="0"/>
        <w:jc w:val="both"/>
        <w:rPr>
          <w:sz w:val="28"/>
          <w:szCs w:val="28"/>
        </w:rPr>
      </w:pPr>
      <w:r>
        <w:fldChar w:fldCharType="begin"/>
      </w:r>
      <w:r>
        <w:rPr/>
        <w:instrText> HYPERLINK "http://www.arhdaily.com" </w:instrText>
      </w:r>
      <w:r>
        <w:fldChar w:fldCharType="separate"/>
      </w:r>
      <w:bookmarkStart w:id="5" w:name="bookmark5"/>
      <w:bookmarkEnd w:id="5"/>
      <w:r>
        <w:rPr>
          <w:color w:val="000000"/>
          <w:spacing w:val="0"/>
          <w:w w:val="100"/>
          <w:position w:val="0"/>
          <w:sz w:val="28"/>
          <w:szCs w:val="28"/>
          <w:u w:val="single"/>
        </w:rPr>
        <w:t>www.arhdaily.com</w:t>
      </w:r>
      <w:r>
        <w:fldChar w:fldCharType="end"/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, </w:t>
      </w:r>
      <w:r>
        <w:rPr>
          <w:color w:val="000000"/>
          <w:spacing w:val="0"/>
          <w:w w:val="100"/>
          <w:position w:val="0"/>
          <w:sz w:val="28"/>
          <w:szCs w:val="28"/>
        </w:rPr>
        <w:t>09.08.2009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0" w:line="276" w:lineRule="auto"/>
        <w:ind w:left="720" w:right="0" w:hanging="720"/>
        <w:jc w:val="both"/>
      </w:pPr>
      <w:bookmarkStart w:id="6" w:name="bookmark6"/>
      <w:bookmarkEnd w:id="6"/>
      <w:r>
        <w:rPr>
          <w:color w:val="000000"/>
          <w:spacing w:val="0"/>
          <w:w w:val="100"/>
          <w:position w:val="0"/>
        </w:rPr>
        <w:t>Архитектурное проектирование общественных зданий и сооружений, ред . И . Е . Рожина, Урбаха, М . Стройиздат, 1 9 8 5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numPr>
          <w:ilvl w:val="0"/>
          <w:numId w:val="1"/>
        </w:numPr>
        <w:shd w:val="clear" w:color="auto" w:fill="auto"/>
        <w:tabs>
          <w:tab w:pos="700" w:val="left"/>
        </w:tabs>
        <w:bidi w:val="0"/>
        <w:spacing w:before="0" w:after="340" w:line="269" w:lineRule="auto"/>
        <w:ind w:left="0" w:right="0" w:firstLine="0"/>
        <w:jc w:val="both"/>
        <w:rPr>
          <w:sz w:val="28"/>
          <w:szCs w:val="28"/>
        </w:rPr>
      </w:pPr>
      <w:r>
        <w:fldChar w:fldCharType="begin"/>
      </w:r>
      <w:r>
        <w:rPr/>
        <w:instrText> HYPERLINK "http://www.city-ideas.blogspot.com" </w:instrText>
      </w:r>
      <w:r>
        <w:fldChar w:fldCharType="separate"/>
      </w:r>
      <w:bookmarkStart w:id="7" w:name="bookmark7"/>
      <w:bookmarkEnd w:id="7"/>
      <w:r>
        <w:rPr>
          <w:color w:val="000000"/>
          <w:spacing w:val="0"/>
          <w:w w:val="100"/>
          <w:position w:val="0"/>
          <w:sz w:val="28"/>
          <w:szCs w:val="28"/>
        </w:rPr>
        <w:t>www.city-ideas.blogspot.com</w:t>
      </w:r>
      <w:r>
        <w:fldChar w:fldCharType="end"/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Аннотация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В статье рассматриваются характерные типы зданий , их особенности и принципы формирования в городе, функционально - планировочную организацию гаражей для велосипедов .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shd w:val="clear" w:color="auto" w:fill="auto"/>
        <w:bidi w:val="0"/>
        <w:spacing w:before="0" w:after="34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Ключевые слова</w:t>
      </w:r>
      <w:r>
        <w:rPr>
          <w:color w:val="000000"/>
          <w:spacing w:val="0"/>
          <w:w w:val="100"/>
          <w:position w:val="0"/>
        </w:rPr>
        <w:t xml:space="preserve"> : велосипедный транспорт, гаражи для велосипедов .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shd w:val="clear" w:color="auto" w:fill="auto"/>
        <w:bidi w:val="0"/>
        <w:spacing w:before="0" w:after="0" w:line="271" w:lineRule="auto"/>
        <w:ind w:left="0" w:right="0" w:firstLine="0"/>
        <w:jc w:val="center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8"/>
          <w:szCs w:val="28"/>
        </w:rPr>
        <w:t>Annotation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shd w:val="clear" w:color="auto" w:fill="auto"/>
        <w:bidi w:val="0"/>
        <w:spacing w:before="0" w:after="0" w:line="271" w:lineRule="auto"/>
        <w:ind w:left="0" w:right="0" w:firstLine="72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8"/>
          <w:szCs w:val="28"/>
        </w:rPr>
        <w:t>The article deals with specific types of buildings, their features and principles of the city, functional principles - planning organization garage for bikes.</w:t>
      </w:r>
    </w:p>
    <w:p>
      <w:pPr>
        <w:pStyle w:val="Style11"/>
        <w:keepNext w:val="0"/>
        <w:keepLines w:val="0"/>
        <w:framePr w:w="9701" w:h="7214" w:hRule="exact" w:wrap="none" w:vAnchor="page" w:hAnchor="page" w:x="1101" w:y="1456"/>
        <w:widowControl w:val="0"/>
        <w:shd w:val="clear" w:color="auto" w:fill="auto"/>
        <w:bidi w:val="0"/>
        <w:spacing w:before="0" w:after="0" w:line="271" w:lineRule="auto"/>
        <w:ind w:left="0" w:right="0" w:firstLine="72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8"/>
          <w:szCs w:val="28"/>
          <w:u w:val="single"/>
        </w:rPr>
        <w:t>Keywords</w:t>
      </w:r>
      <w:r>
        <w:rPr>
          <w:color w:val="000000"/>
          <w:spacing w:val="0"/>
          <w:w w:val="100"/>
          <w:position w:val="0"/>
          <w:sz w:val="28"/>
          <w:szCs w:val="28"/>
        </w:rPr>
        <w:t>: bicycle transport, garages for bicycles.</w:t>
      </w:r>
    </w:p>
    <w:p>
      <w:pPr>
        <w:pStyle w:val="Style11"/>
        <w:keepNext w:val="0"/>
        <w:keepLines w:val="0"/>
        <w:framePr w:wrap="none" w:vAnchor="page" w:hAnchor="page" w:x="1730" w:y="974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УДК </w:t>
      </w:r>
      <w:r>
        <w:rPr>
          <w:color w:val="000000"/>
          <w:spacing w:val="0"/>
          <w:w w:val="100"/>
          <w:position w:val="0"/>
        </w:rPr>
        <w:t>728.45</w:t>
      </w:r>
    </w:p>
    <w:p>
      <w:pPr>
        <w:pStyle w:val="Style15"/>
        <w:keepNext w:val="0"/>
        <w:keepLines w:val="0"/>
        <w:framePr w:w="9701" w:h="701" w:hRule="exact" w:wrap="none" w:vAnchor="page" w:hAnchor="page" w:x="1101" w:y="9741"/>
        <w:widowControl w:val="0"/>
        <w:shd w:val="clear" w:color="auto" w:fill="auto"/>
        <w:bidi w:val="0"/>
        <w:spacing w:before="0" w:after="0" w:line="240" w:lineRule="auto"/>
        <w:ind w:left="0" w:right="15" w:firstLine="0"/>
        <w:jc w:val="right"/>
      </w:pPr>
      <w:bookmarkStart w:id="10" w:name="bookmark10"/>
      <w:bookmarkStart w:id="8" w:name="bookmark8"/>
      <w:bookmarkStart w:id="9" w:name="bookmark9"/>
      <w:r>
        <w:rPr>
          <w:color w:val="000000"/>
          <w:spacing w:val="0"/>
          <w:w w:val="100"/>
          <w:position w:val="0"/>
        </w:rPr>
        <w:t xml:space="preserve">О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Федченко</w:t>
      </w:r>
      <w:bookmarkEnd w:id="10"/>
      <w:bookmarkEnd w:id="8"/>
      <w:bookmarkEnd w:id="9"/>
    </w:p>
    <w:p>
      <w:pPr>
        <w:pStyle w:val="Style11"/>
        <w:keepNext w:val="0"/>
        <w:keepLines w:val="0"/>
        <w:framePr w:w="9701" w:h="701" w:hRule="exact" w:wrap="none" w:vAnchor="page" w:hAnchor="page" w:x="1101" w:y="9741"/>
        <w:widowControl w:val="0"/>
        <w:shd w:val="clear" w:color="auto" w:fill="auto"/>
        <w:bidi w:val="0"/>
        <w:spacing w:before="0" w:after="0" w:line="240" w:lineRule="auto"/>
        <w:ind w:left="0" w:right="15" w:firstLine="0"/>
        <w:jc w:val="right"/>
        <w:rPr>
          <w:sz w:val="28"/>
          <w:szCs w:val="28"/>
        </w:rPr>
      </w:pP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аспірантка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каф. АПЦБС КНУБА</w:t>
      </w:r>
    </w:p>
    <w:p>
      <w:pPr>
        <w:pStyle w:val="Style15"/>
        <w:keepNext w:val="0"/>
        <w:keepLines w:val="0"/>
        <w:framePr w:w="9701" w:h="4704" w:hRule="exact" w:wrap="none" w:vAnchor="page" w:hAnchor="page" w:x="1101" w:y="10821"/>
        <w:widowControl w:val="0"/>
        <w:shd w:val="clear" w:color="auto" w:fill="auto"/>
        <w:bidi w:val="0"/>
        <w:spacing w:before="0"/>
        <w:ind w:left="0" w:right="0" w:firstLine="0"/>
        <w:jc w:val="center"/>
      </w:pPr>
      <w:bookmarkStart w:id="11" w:name="bookmark11"/>
      <w:bookmarkStart w:id="12" w:name="bookmark12"/>
      <w:bookmarkStart w:id="13" w:name="bookmark13"/>
      <w:r>
        <w:rPr>
          <w:color w:val="000000"/>
          <w:spacing w:val="0"/>
          <w:w w:val="100"/>
          <w:position w:val="0"/>
        </w:rPr>
        <w:t xml:space="preserve">КЛАСИФІКАЦІЯ ГУРТОЖИТКІВ </w:t>
      </w:r>
      <w:r>
        <w:rPr>
          <w:color w:val="000000"/>
          <w:spacing w:val="0"/>
          <w:w w:val="100"/>
          <w:position w:val="0"/>
        </w:rPr>
        <w:t xml:space="preserve">ДЛЯ </w:t>
      </w:r>
      <w:r>
        <w:rPr>
          <w:color w:val="000000"/>
          <w:spacing w:val="0"/>
          <w:w w:val="100"/>
          <w:position w:val="0"/>
        </w:rPr>
        <w:t>МОЛОДІ</w:t>
      </w:r>
      <w:bookmarkEnd w:id="11"/>
      <w:bookmarkEnd w:id="12"/>
      <w:bookmarkEnd w:id="13"/>
    </w:p>
    <w:p>
      <w:pPr>
        <w:pStyle w:val="Style11"/>
        <w:keepNext w:val="0"/>
        <w:keepLines w:val="0"/>
        <w:framePr w:w="9701" w:h="4704" w:hRule="exact" w:wrap="none" w:vAnchor="page" w:hAnchor="page" w:x="1101" w:y="10821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  <w:u w:val="single"/>
        </w:rPr>
        <w:t>Анотація</w:t>
      </w:r>
      <w:r>
        <w:rPr>
          <w:color w:val="000000"/>
          <w:spacing w:val="0"/>
          <w:w w:val="100"/>
          <w:position w:val="0"/>
          <w:sz w:val="28"/>
          <w:szCs w:val="28"/>
          <w:u w:val="single"/>
        </w:rPr>
        <w:t>: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У </w:t>
      </w:r>
      <w:r>
        <w:rPr>
          <w:color w:val="000000"/>
          <w:spacing w:val="0"/>
          <w:w w:val="100"/>
          <w:position w:val="0"/>
        </w:rPr>
        <w:t xml:space="preserve">статті запропоновано класифікацію гуртожитків для молоді за основними ознаками : тип мешканця , місткість гуртожитку, архітектурно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планувальна організація та система обслуговування .</w:t>
      </w:r>
    </w:p>
    <w:p>
      <w:pPr>
        <w:pStyle w:val="Style11"/>
        <w:keepNext w:val="0"/>
        <w:keepLines w:val="0"/>
        <w:framePr w:w="9701" w:h="4704" w:hRule="exact" w:wrap="none" w:vAnchor="page" w:hAnchor="page" w:x="1101" w:y="10821"/>
        <w:widowControl w:val="0"/>
        <w:shd w:val="clear" w:color="auto" w:fill="auto"/>
        <w:bidi w:val="0"/>
        <w:spacing w:before="0" w:after="340"/>
        <w:ind w:left="0" w:right="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: </w:t>
      </w:r>
      <w:r>
        <w:rPr>
          <w:color w:val="000000"/>
          <w:spacing w:val="0"/>
          <w:w w:val="100"/>
          <w:position w:val="0"/>
        </w:rPr>
        <w:t>гуртожитки для молоді, класифікація, студентський гуртожиток, архітектурно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планувальна організація .</w:t>
      </w:r>
    </w:p>
    <w:p>
      <w:pPr>
        <w:pStyle w:val="Style11"/>
        <w:keepNext w:val="0"/>
        <w:keepLines w:val="0"/>
        <w:framePr w:w="9701" w:h="4704" w:hRule="exact" w:wrap="none" w:vAnchor="page" w:hAnchor="page" w:x="1101" w:y="10821"/>
        <w:widowControl w:val="0"/>
        <w:shd w:val="clear" w:color="auto" w:fill="auto"/>
        <w:bidi w:val="0"/>
        <w:spacing w:before="0" w:after="0"/>
        <w:ind w:left="0" w:right="0"/>
        <w:jc w:val="both"/>
      </w:pPr>
      <w:r>
        <w:rPr>
          <w:color w:val="000000"/>
          <w:spacing w:val="0"/>
          <w:w w:val="100"/>
          <w:position w:val="0"/>
        </w:rPr>
        <w:t>Молодь зустрічається з проблемою забезпечення житлом вже після закінчення школи . Більшість вибирає для себе для подальшого навчання вищі учбові заклади та професійні технічні училища, що знаходяться в інших містах . Студентські гуртожитки - це основний вид житла, що держава надає для студентів , абітурієнтів , слухачів підготовчих відділень та аспірантів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. </w:t>
      </w:r>
      <w:r>
        <w:rPr>
          <w:color w:val="000000"/>
          <w:spacing w:val="0"/>
          <w:w w:val="100"/>
          <w:position w:val="0"/>
        </w:rPr>
        <w:t>Проблема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16">
    <w:name w:val="Заголовок №1_"/>
    <w:basedOn w:val="DefaultParagraphFont"/>
    <w:link w:val="Style1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15">
    <w:name w:val="Заголовок №1"/>
    <w:basedOn w:val="Normal"/>
    <w:link w:val="CharStyle16"/>
    <w:pPr>
      <w:widowControl w:val="0"/>
      <w:shd w:val="clear" w:color="auto" w:fill="auto"/>
      <w:spacing w:after="340" w:line="288" w:lineRule="auto"/>
      <w:jc w:val="center"/>
      <w:outlineLvl w:val="0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