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pStyle w:val="Style2"/>
        <w:keepNext w:val="0"/>
        <w:keepLines w:val="0"/>
        <w:widowControl w:val="0"/>
        <w:pBdr>
          <w:bottom w:val="single" w:sz="4" w:space="0" w:color="auto"/>
        </w:pBdr>
        <w:shd w:val="clear" w:color="auto" w:fill="auto"/>
        <w:bidi w:val="0"/>
        <w:spacing w:before="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ГБДММ, 86, 2015, 54-59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200"/>
        <w:ind w:left="1400" w:right="0" w:firstLine="0"/>
        <w:jc w:val="left"/>
      </w:pPr>
      <w:r>
        <w:rPr>
          <w:i w:val="0"/>
          <w:iCs w:val="0"/>
          <w:color w:val="000000"/>
          <w:spacing w:val="0"/>
          <w:w w:val="100"/>
          <w:position w:val="0"/>
        </w:rPr>
        <w:t>ВПЛИВ АРМУВАННЯ НА БЕЗПЕКУ ЕКСПЛУАТАЦІЇ АБРАЗИВНИХ КРУГІВ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20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Юрій Абрашкевич, Григорій Мачишин, Володимир Тишковець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Київський національний університет будівництва і архітектури</w:t>
        <w:br/>
        <w:t>03680, Повітрофлотський просп. 31, Київ, Україна</w:t>
        <w:br/>
      </w:r>
      <w:r>
        <w:rPr>
          <w:color w:val="000000"/>
          <w:spacing w:val="0"/>
          <w:w w:val="100"/>
          <w:position w:val="0"/>
        </w:rPr>
        <w:t xml:space="preserve">e-mail: </w:t>
      </w:r>
      <w:r>
        <w:fldChar w:fldCharType="begin"/>
      </w:r>
      <w:r>
        <w:rPr/>
        <w:instrText> HYPERLINK "mailto:abrashkevich@voliacable.com"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abrashkevich@voliacable.com</w:t>
      </w:r>
      <w:r>
        <w:fldChar w:fldCharType="end"/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та4ісЬіп@икг.пеї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200"/>
        <w:ind w:left="0" w:right="0" w:firstLine="0"/>
        <w:jc w:val="center"/>
      </w:pPr>
      <w:r>
        <w:rPr>
          <w:b/>
          <w:bCs/>
          <w:i w:val="0"/>
          <w:iCs w:val="0"/>
          <w:color w:val="000000"/>
          <w:spacing w:val="0"/>
          <w:w w:val="100"/>
          <w:position w:val="0"/>
        </w:rPr>
        <w:t>REINFORCEMENT EFFECTS ON SAFETY OPERATION ABRASIVE WHEELS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20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Yuri Abrashkevych, Grygory Machyshyn, Volodymir Tyshkovets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102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Kyiv National University of Construction and Architecture</w:t>
        <w:br/>
        <w:t>Povitroflotskyy prosp., 31, Kyiv, Ukraine, 03680,</w:t>
        <w:br/>
        <w:t xml:space="preserve">e-mail: </w:t>
      </w:r>
      <w:r>
        <w:fldChar w:fldCharType="begin"/>
      </w:r>
      <w:r>
        <w:rPr/>
        <w:instrText> HYPERLINK "mailto:abrashkevich@voliacable.com"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abrashkevich@voliacable.com</w:t>
      </w:r>
      <w:r>
        <w:fldChar w:fldCharType="end"/>
      </w:r>
      <w:r>
        <w:rPr>
          <w:color w:val="000000"/>
          <w:spacing w:val="0"/>
          <w:w w:val="100"/>
          <w:position w:val="0"/>
        </w:rPr>
        <w:t>, ma4iс</w:t>
      </w:r>
      <w:r>
        <w:fldChar w:fldCharType="begin"/>
      </w:r>
      <w:r>
        <w:rPr/>
        <w:instrText> HYPERLINK "mailto:hin@ukr.net" </w:instrText>
      </w:r>
      <w:r>
        <w:fldChar w:fldCharType="separate"/>
      </w:r>
      <w:r>
        <w:rPr>
          <w:color w:val="000000"/>
          <w:spacing w:val="0"/>
          <w:w w:val="100"/>
          <w:position w:val="0"/>
        </w:rPr>
        <w:t>hin@ukr.net</w:t>
      </w:r>
      <w:r>
        <w:fldChar w:fldCharType="end"/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>АНОТАЦІЯ. У роботі досліджено руйнування абразивних армованих кругів з різним способом зміцнен</w:t>
        <w:softHyphen/>
        <w:t>ня склосіткою. Досліджений вплив анізотропії механічних властивостей матеріалу абразивного круга, що дозволяє отримати необхідну інформацію для створення та ефективного використання абразив</w:t>
        <w:softHyphen/>
        <w:t>них армованих кругів.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Ключові слова</w:t>
      </w:r>
      <w:r>
        <w:rPr>
          <w:b/>
          <w:bCs/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абразивне зерно, склосітка, руйнування, абразивний армований круг, інструмент.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 xml:space="preserve">АННОТАЦИЯ.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>работе исследовано разрушения абразивных армированных кругов с разным спосо</w:t>
        <w:softHyphen/>
        <w:t>бом укрепления стеклосеткой. Исследовано влияние анизотропии механических свойств материала абразивного круга, что позволяет получить необходимую информацию для создания и эффективного использования абразивных армированных кругов.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>Ключевые слова</w:t>
      </w:r>
      <w:r>
        <w:rPr>
          <w:b/>
          <w:bCs/>
          <w:color w:val="000000"/>
          <w:spacing w:val="0"/>
          <w:w w:val="100"/>
          <w:position w:val="0"/>
        </w:rPr>
        <w:t xml:space="preserve">: </w:t>
      </w:r>
      <w:r>
        <w:rPr>
          <w:color w:val="000000"/>
          <w:spacing w:val="0"/>
          <w:w w:val="100"/>
          <w:position w:val="0"/>
        </w:rPr>
        <w:t>абразивное зерно, стеклосетка, разрушения, абразивный армированный круг, ин</w:t>
        <w:softHyphen/>
        <w:t>струмент.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both"/>
      </w:pPr>
      <w:r>
        <w:rPr>
          <w:color w:val="000000"/>
          <w:spacing w:val="0"/>
          <w:w w:val="100"/>
          <w:position w:val="0"/>
        </w:rPr>
        <w:t xml:space="preserve">ABSTRACT. </w:t>
      </w:r>
      <w:r>
        <w:rPr>
          <w:b/>
          <w:bCs/>
          <w:color w:val="000000"/>
          <w:spacing w:val="0"/>
          <w:w w:val="100"/>
          <w:position w:val="0"/>
        </w:rPr>
        <w:t xml:space="preserve">Purpose. </w:t>
      </w:r>
      <w:r>
        <w:rPr>
          <w:color w:val="000000"/>
          <w:spacing w:val="0"/>
          <w:w w:val="100"/>
          <w:position w:val="0"/>
        </w:rPr>
        <w:t>Tests reinforced abrasive wheels and identify technological defects that affect their re</w:t>
        <w:softHyphen/>
        <w:t xml:space="preserve">liability. </w:t>
      </w:r>
      <w:r>
        <w:rPr>
          <w:b/>
          <w:bCs/>
          <w:color w:val="000000"/>
          <w:spacing w:val="0"/>
          <w:w w:val="100"/>
          <w:position w:val="0"/>
        </w:rPr>
        <w:t xml:space="preserve">Methodology/approach. </w:t>
      </w:r>
      <w:r>
        <w:rPr>
          <w:color w:val="000000"/>
          <w:spacing w:val="0"/>
          <w:w w:val="100"/>
          <w:position w:val="0"/>
        </w:rPr>
        <w:t xml:space="preserve">Experimental determination of safety wheel acceleration is done to speed that more than the working speed. Determining the speed at which the failure occurs circle. </w:t>
      </w:r>
      <w:r>
        <w:rPr>
          <w:b/>
          <w:bCs/>
          <w:color w:val="000000"/>
          <w:spacing w:val="0"/>
          <w:w w:val="100"/>
          <w:position w:val="0"/>
        </w:rPr>
        <w:t xml:space="preserve">Findings. </w:t>
      </w:r>
      <w:r>
        <w:rPr>
          <w:color w:val="000000"/>
          <w:spacing w:val="0"/>
          <w:w w:val="100"/>
          <w:position w:val="0"/>
        </w:rPr>
        <w:t xml:space="preserve">The results yield information necessary for the establishment and effective use of the reinforced abrasive wheels. </w:t>
      </w:r>
      <w:r>
        <w:rPr>
          <w:b/>
          <w:bCs/>
          <w:color w:val="000000"/>
          <w:spacing w:val="0"/>
          <w:w w:val="100"/>
          <w:position w:val="0"/>
        </w:rPr>
        <w:t xml:space="preserve">Research limitations/implications. </w:t>
      </w:r>
      <w:r>
        <w:rPr>
          <w:color w:val="000000"/>
          <w:spacing w:val="0"/>
          <w:w w:val="100"/>
          <w:position w:val="0"/>
        </w:rPr>
        <w:t>The investigations to optimize the methods and ways of processing materials using re</w:t>
        <w:softHyphen/>
        <w:t xml:space="preserve">inforced abrasive wheels. </w:t>
      </w:r>
      <w:r>
        <w:rPr>
          <w:b/>
          <w:bCs/>
          <w:color w:val="000000"/>
          <w:spacing w:val="0"/>
          <w:w w:val="100"/>
          <w:position w:val="0"/>
        </w:rPr>
        <w:t xml:space="preserve">Originality/value. </w:t>
      </w:r>
      <w:r>
        <w:rPr>
          <w:color w:val="000000"/>
          <w:spacing w:val="0"/>
          <w:w w:val="100"/>
          <w:position w:val="0"/>
        </w:rPr>
        <w:t>Determining the impact of reinforcement circles the safe operation reinforced abrasive wheel.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580"/>
        <w:jc w:val="both"/>
        <w:sectPr>
          <w:headerReference w:type="default" r:id="rId5"/>
          <w:footerReference w:type="default" r:id="rId6"/>
          <w:headerReference w:type="even" r:id="rId7"/>
          <w:footerReference w:type="even" r:id="rId8"/>
          <w:headerReference w:type="first" r:id="rId9"/>
          <w:footerReference w:type="first" r:id="rId10"/>
          <w:footnotePr>
            <w:pos w:val="pageBottom"/>
            <w:numFmt w:val="decimal"/>
            <w:numRestart w:val="continuous"/>
          </w:footnotePr>
          <w:pgSz w:w="11900" w:h="16840"/>
          <w:pgMar w:top="711" w:right="1099" w:bottom="943" w:left="1104" w:header="0" w:footer="3" w:gutter="0"/>
          <w:pgNumType w:start="54"/>
          <w:cols w:space="720"/>
          <w:noEndnote/>
          <w:titlePg/>
          <w:rtlGutter w:val="0"/>
          <w:docGrid w:linePitch="360"/>
        </w:sectPr>
      </w:pPr>
      <w:r>
        <w:rPr>
          <w:b/>
          <w:bCs/>
          <w:color w:val="000000"/>
          <w:spacing w:val="0"/>
          <w:w w:val="100"/>
          <w:position w:val="0"/>
        </w:rPr>
        <w:t xml:space="preserve">Key words. </w:t>
      </w:r>
      <w:r>
        <w:rPr>
          <w:color w:val="000000"/>
          <w:spacing w:val="0"/>
          <w:w w:val="100"/>
          <w:position w:val="0"/>
        </w:rPr>
        <w:t>Abrasive grain, glassmesh, destruction, reinforced abrasive wheel, tool.</w:t>
      </w:r>
    </w:p>
    <w:p>
      <w:pPr>
        <w:widowControl w:val="0"/>
        <w:spacing w:before="17" w:after="17" w:line="240" w:lineRule="exact"/>
        <w:rPr>
          <w:sz w:val="19"/>
          <w:szCs w:val="19"/>
        </w:rPr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824" w:right="0" w:bottom="1030" w:left="0" w:header="0" w:footer="3" w:gutter="0"/>
          <w:cols w:space="720"/>
          <w:noEndnote/>
          <w:rtlGutter w:val="0"/>
          <w:docGrid w:linePitch="360"/>
        </w:sectPr>
      </w:pP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  <w:sz w:val="24"/>
          <w:szCs w:val="24"/>
        </w:rPr>
        <w:t>ВСТУП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Обробка матеріалів різанням із викорис</w:t>
        <w:softHyphen/>
        <w:t>танням абразивних армованих кругів у по</w:t>
        <w:softHyphen/>
        <w:t>єднанні з привідними ручними або стаціо</w:t>
        <w:softHyphen/>
        <w:t>нарними машинами широко поширений технологічний процес, що забезпечує висо</w:t>
        <w:softHyphen/>
        <w:t>ку продуктивність праці. Ефективність рі</w:t>
        <w:softHyphen/>
        <w:t>зання та безпека праці робітника пов'язана з міцністю і надійністю різального інструме</w:t>
        <w:softHyphen/>
        <w:t>нту.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При взаємодії круга з об'єктом різання інструмент знаходиться в складному на</w:t>
        <w:softHyphen/>
        <w:t xml:space="preserve">пруженому стані, який є результатом дії системи чинників. У площині круга діють відцентрові сили, які викликані обертанням круга з кутовою швидкістю та зусилля від </w:t>
      </w:r>
      <w:r>
        <w:rPr>
          <w:color w:val="000000"/>
          <w:spacing w:val="0"/>
          <w:w w:val="100"/>
          <w:position w:val="0"/>
          <w:sz w:val="24"/>
          <w:szCs w:val="24"/>
        </w:rPr>
        <w:t>неврівноваженості круга і сили різання, розподіл яких багато в чому залежить від умов взаємодії.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  <w:sz w:val="24"/>
          <w:szCs w:val="24"/>
        </w:rPr>
        <w:t>МЕТА РОБОТИ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Абразивний інструмент, що сприймає в процесі роботи різні по характеру та вели</w:t>
        <w:softHyphen/>
        <w:t>чині навантаження, повинен володіти до</w:t>
        <w:softHyphen/>
        <w:t xml:space="preserve">статньою міцністю. Здатність інструмента опиратися навантаженням залежить від </w:t>
      </w:r>
      <w:r>
        <w:rPr>
          <w:color w:val="000000"/>
          <w:spacing w:val="0"/>
          <w:w w:val="100"/>
          <w:position w:val="0"/>
          <w:sz w:val="24"/>
          <w:szCs w:val="24"/>
        </w:rPr>
        <w:t>та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</w:r>
      <w:r>
        <w:rPr>
          <w:color w:val="000000"/>
          <w:spacing w:val="0"/>
          <w:w w:val="100"/>
          <w:position w:val="0"/>
          <w:sz w:val="24"/>
          <w:szCs w:val="24"/>
        </w:rPr>
        <w:t>ких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його характеристик як зв'язка, зернис</w:t>
        <w:softHyphen/>
        <w:t>тість абразивних зерен, їх упаковка та на</w:t>
        <w:softHyphen/>
        <w:t>явність зміцнювальних елементів. Визна</w:t>
        <w:softHyphen/>
        <w:t>чення виду армування абразивного круга в залежності від режиму його роботи є актуа</w:t>
        <w:softHyphen/>
        <w:t>льним питанням.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ВИКЛАД ОСНОВНОГО МАТЕРІАЛУ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В результаті теоретичного та експериме</w:t>
        <w:softHyphen/>
        <w:t>нтального дослідження сил, що діють на інструмент в процесі роботи, було встанов</w:t>
        <w:softHyphen/>
        <w:t>лено, що основну небезпеку чинять відцен</w:t>
        <w:softHyphen/>
        <w:t>трові сили, які призводять до виникнення на внутрішньому контурі круга розтягува- льної напруги. Саме вона при високих швидкостях обертанні круга викликає в ньому напруги, близькі за величиною до тимчасового опору матеріалу круга [1].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У зв'язку з цим основним методом ви</w:t>
        <w:softHyphen/>
        <w:t>пробування кругів є надання їм швидкості, що перевищує робочу. Режими випробу</w:t>
        <w:softHyphen/>
        <w:t xml:space="preserve">вання кругів на міцність, правила та норми безпечної роботи абразивного інструмента визначено в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ГОСТ </w:t>
      </w:r>
      <w:r>
        <w:rPr>
          <w:color w:val="000000"/>
          <w:spacing w:val="0"/>
          <w:w w:val="100"/>
          <w:position w:val="0"/>
          <w:sz w:val="24"/>
          <w:szCs w:val="24"/>
        </w:rPr>
        <w:t>12.3.028.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 xml:space="preserve">Головним завданням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підприємства-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виробника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є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випробування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кругів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з </w:t>
      </w:r>
      <w:r>
        <w:rPr>
          <w:color w:val="000000"/>
          <w:spacing w:val="0"/>
          <w:w w:val="100"/>
          <w:position w:val="0"/>
          <w:sz w:val="24"/>
          <w:szCs w:val="24"/>
        </w:rPr>
        <w:t>наступ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</w:r>
      <w:r>
        <w:rPr>
          <w:color w:val="000000"/>
          <w:spacing w:val="0"/>
          <w:w w:val="100"/>
          <w:position w:val="0"/>
          <w:sz w:val="24"/>
          <w:szCs w:val="24"/>
        </w:rPr>
        <w:t>ним виявленням технологічних дефектів, що впливають на надійність інструмента. Ці випробування проводяться у кінці про</w:t>
        <w:softHyphen/>
        <w:t>цесу виробництва або перед видачею кругів споживачеві [2].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За рекомендацією комітету з шліфуваль</w:t>
        <w:softHyphen/>
        <w:t>них кругів залежно від форми і розмірів круга, виду зв'язки та максимальної робочої швидкості випробування може включати пробний пуск (табл. 1) і перевірку запасу міцності [3].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Круг, що обертається, піддається раді</w:t>
        <w:softHyphen/>
        <w:t>альним і дотичним напругам. Ці напруги збільшуються за квадратом колової швид</w:t>
        <w:softHyphen/>
        <w:t>кості.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У табл. 2 наведені значення мінімально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  <w:t>го запасу міцності залежно від виду при</w:t>
        <w:softHyphen/>
        <w:t>відного пристрою та способу використання інструмента відповідно до рекомендацій комітету з шліфувальних кругів [4]. Випро</w:t>
        <w:softHyphen/>
        <w:t>бування для визначення запасу міцності проводяться за допомогою прискорення круга за рахунок збільшення частоти обер</w:t>
        <w:softHyphen/>
        <w:t>тання на призначених для цього випробу</w:t>
        <w:softHyphen/>
        <w:t>вальних стендах до досягнення мінімальної швидкості, при якій відбувається руйну</w:t>
        <w:softHyphen/>
        <w:t>вання.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Запас міцності визначається за залежніс</w:t>
        <w:softHyphen/>
        <w:t>тю</w:t>
      </w:r>
    </w:p>
    <w:p>
      <w:pPr>
        <w:pStyle w:val="Style14"/>
        <w:keepNext w:val="0"/>
        <w:keepLines w:val="0"/>
        <w:widowControl w:val="0"/>
        <w:shd w:val="clear" w:color="auto" w:fill="auto"/>
        <w:tabs>
          <w:tab w:pos="2467" w:val="left"/>
        </w:tabs>
        <w:bidi w:val="0"/>
        <w:spacing w:before="0" w:after="0" w:line="317" w:lineRule="auto"/>
        <w:ind w:left="0" w:right="0" w:firstLine="0"/>
        <w:jc w:val="right"/>
      </w:pP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«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 xml:space="preserve">=VJ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'■</w:t>
      </w:r>
      <w:r>
        <w:rPr>
          <w:color w:val="000000"/>
          <w:spacing w:val="0"/>
          <w:w w:val="100"/>
          <w:position w:val="0"/>
          <w:sz w:val="42"/>
          <w:szCs w:val="42"/>
        </w:rPr>
        <w:t xml:space="preserve"> )</w:t>
      </w:r>
      <w:r>
        <w:rPr>
          <w:color w:val="000000"/>
          <w:spacing w:val="0"/>
          <w:w w:val="100"/>
          <w:position w:val="0"/>
          <w:sz w:val="24"/>
          <w:szCs w:val="24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24"/>
          <w:szCs w:val="24"/>
        </w:rPr>
        <w:t>.</w:t>
        <w:tab/>
        <w:t>(</w:t>
      </w:r>
      <w:r>
        <w:rPr>
          <w:color w:val="000000"/>
          <w:spacing w:val="0"/>
          <w:w w:val="100"/>
          <w:position w:val="0"/>
          <w:sz w:val="24"/>
          <w:szCs w:val="24"/>
          <w:vertAlign w:val="superscript"/>
        </w:rPr>
        <w:t>1</w:t>
      </w:r>
      <w:r>
        <w:rPr>
          <w:color w:val="000000"/>
          <w:spacing w:val="0"/>
          <w:w w:val="100"/>
          <w:position w:val="0"/>
          <w:sz w:val="24"/>
          <w:szCs w:val="24"/>
        </w:rPr>
        <w:t>)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317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^</w:t>
      </w:r>
      <w:r>
        <w:rPr>
          <w:color w:val="000000"/>
          <w:spacing w:val="0"/>
          <w:w w:val="100"/>
          <w:position w:val="0"/>
          <w:sz w:val="24"/>
          <w:szCs w:val="24"/>
          <w:vertAlign w:val="subscript"/>
        </w:rPr>
        <w:t>р</w:t>
      </w:r>
      <w:r>
        <w:rPr>
          <w:color w:val="000000"/>
          <w:spacing w:val="0"/>
          <w:w w:val="100"/>
          <w:position w:val="0"/>
          <w:sz w:val="14"/>
          <w:szCs w:val="14"/>
          <w:vertAlign w:val="subscript"/>
        </w:rPr>
        <w:t>о</w:t>
      </w:r>
      <w:r>
        <w:rPr>
          <w:color w:val="000000"/>
          <w:spacing w:val="0"/>
          <w:w w:val="100"/>
          <w:position w:val="0"/>
          <w:sz w:val="24"/>
          <w:szCs w:val="24"/>
          <w:vertAlign w:val="subscript"/>
        </w:rPr>
        <w:t>з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- мінімальна швидкість, при якій відбувається руйнування;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У</w:t>
      </w:r>
      <w:r>
        <w:rPr>
          <w:i/>
          <w:iCs/>
          <w:color w:val="000000"/>
          <w:spacing w:val="0"/>
          <w:w w:val="100"/>
          <w:position w:val="0"/>
          <w:sz w:val="22"/>
          <w:szCs w:val="22"/>
          <w:vertAlign w:val="subscript"/>
        </w:rPr>
        <w:t>р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- максимальна робоча швидкість.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824" w:right="1096" w:bottom="1030" w:left="1103" w:header="0" w:footer="3" w:gutter="0"/>
          <w:cols w:num="2" w:space="504"/>
          <w:noEndnote/>
          <w:rtlGutter w:val="0"/>
          <w:docGrid w:linePitch="360"/>
        </w:sectPr>
      </w:pPr>
      <w:r>
        <w:rPr>
          <w:color w:val="000000"/>
          <w:spacing w:val="0"/>
          <w:w w:val="100"/>
          <w:position w:val="0"/>
          <w:sz w:val="24"/>
          <w:szCs w:val="24"/>
        </w:rPr>
        <w:t>В сучасних технологічних процесах рі</w:t>
        <w:softHyphen/>
        <w:t>зання матеріалів використовуються абрази</w:t>
        <w:softHyphen/>
        <w:t>вні круги без армування з використанням дискових зміцнювальних прокладок, вико</w:t>
        <w:softHyphen/>
        <w:t>наних із склосітки - з однією, двома, трьома чи чотирма склосітками. Усі ручні кутош</w:t>
        <w:softHyphen/>
        <w:t>ліфувальні машини працюють з відрізними та зачисними кругами, які зміцнені двома, трьома чи чотирма склосітками. Круги без армування, з армуванням однією, двома і більше склосітками застосовуються на ста</w:t>
        <w:softHyphen/>
        <w:t>ціонарних відрізних машинах. Для оцінки впливу зміцнення на міцність кругів з різ</w:t>
        <w:softHyphen/>
        <w:t xml:space="preserve">ним видом і характером їх руйнування </w:t>
      </w:r>
      <w:r>
        <w:rPr>
          <w:color w:val="000000"/>
          <w:spacing w:val="0"/>
          <w:w w:val="100"/>
          <w:position w:val="0"/>
          <w:sz w:val="24"/>
          <w:szCs w:val="24"/>
        </w:rPr>
        <w:t>ав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</w:r>
      <w:r>
        <w:rPr>
          <w:color w:val="000000"/>
          <w:spacing w:val="0"/>
          <w:w w:val="100"/>
          <w:position w:val="0"/>
          <w:sz w:val="24"/>
          <w:szCs w:val="24"/>
        </w:rPr>
        <w:t>торами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були проведені спеціальні дослі</w:t>
        <w:softHyphen/>
        <w:t>дження. Були виготовлені відрізні абразив</w:t>
        <w:softHyphen/>
        <w:t>ні круги 0300мм на бакелітовій зв'язці з різним способом армування. Визначення</w:t>
      </w:r>
    </w:p>
    <w:p>
      <w:pPr>
        <w:pStyle w:val="Style2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1618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Таблиця </w:t>
      </w:r>
      <w:r>
        <w:rPr>
          <w:b/>
          <w:bCs/>
          <w:color w:val="000000"/>
          <w:spacing w:val="0"/>
          <w:w w:val="100"/>
          <w:position w:val="0"/>
        </w:rPr>
        <w:t xml:space="preserve">1. </w:t>
      </w:r>
      <w:r>
        <w:rPr>
          <w:color w:val="000000"/>
          <w:spacing w:val="0"/>
          <w:w w:val="100"/>
          <w:position w:val="0"/>
        </w:rPr>
        <w:t>Швидкість абразивного армованого круга при пробному пуску</w:t>
      </w:r>
    </w:p>
    <w:p>
      <w:pPr>
        <w:pStyle w:val="Style2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 xml:space="preserve">Table </w:t>
      </w:r>
      <w:r>
        <w:rPr>
          <w:b/>
          <w:bCs/>
          <w:color w:val="000000"/>
          <w:spacing w:val="0"/>
          <w:w w:val="100"/>
          <w:position w:val="0"/>
        </w:rPr>
        <w:t xml:space="preserve">1. </w:t>
      </w:r>
      <w:r>
        <w:rPr>
          <w:color w:val="000000"/>
          <w:spacing w:val="0"/>
          <w:w w:val="100"/>
          <w:position w:val="0"/>
        </w:rPr>
        <w:t>Speed reinforced abrasive disk at trial start</w:t>
      </w:r>
    </w:p>
    <w:tbl>
      <w:tblPr>
        <w:tblOverlap w:val="never"/>
        <w:jc w:val="center"/>
        <w:tblLayout w:type="fixed"/>
      </w:tblPr>
      <w:tblGrid>
        <w:gridCol w:w="1925"/>
        <w:gridCol w:w="2280"/>
        <w:gridCol w:w="1560"/>
        <w:gridCol w:w="2160"/>
        <w:gridCol w:w="1570"/>
      </w:tblGrid>
      <w:tr>
        <w:trPr>
          <w:trHeight w:val="84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both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Форма круга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Максимальна робоча швидкість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У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2"/>
                <w:szCs w:val="22"/>
                <w:vertAlign w:val="subscript"/>
              </w:rPr>
              <w:t>р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м/с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40"/>
                <w:szCs w:val="40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Коефіцієнт пробного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пу</w:t>
              <w:softHyphen/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vertAlign w:val="superscript"/>
              </w:rPr>
              <w:t>ск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у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40"/>
                <w:szCs w:val="40"/>
                <w:vertAlign w:val="superscript"/>
              </w:rPr>
              <w:t>f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6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Швидкість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пробно</w:t>
              <w:softHyphen/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го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пуску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V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  <w:vertAlign w:val="subscript"/>
              </w:rPr>
              <w:t>n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,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м/с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Тривалість пробного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пу</w:t>
              <w:softHyphen/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ску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t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с</w:t>
            </w:r>
          </w:p>
        </w:tc>
      </w:tr>
      <w:tr>
        <w:trPr>
          <w:trHeight w:val="264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Відрізні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круги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63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1,1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70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</w:t>
            </w:r>
          </w:p>
        </w:tc>
      </w:tr>
      <w:tr>
        <w:trPr>
          <w:trHeight w:val="26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88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  <w:tr>
        <w:trPr>
          <w:trHeight w:val="26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100</w:t>
            </w: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110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  <w:tr>
        <w:trPr>
          <w:trHeight w:val="26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125</w:t>
            </w:r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138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  <w:tr>
        <w:trPr>
          <w:trHeight w:val="259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Усі інші форми абразивних шлі</w:t>
              <w:softHyphen/>
              <w:t>фувальних кругів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16.40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1,5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24.60</w:t>
            </w:r>
          </w:p>
        </w:tc>
        <w:tc>
          <w:tcPr>
            <w:vMerge w:val="restart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</w:t>
            </w:r>
          </w:p>
        </w:tc>
      </w:tr>
      <w:tr>
        <w:trPr>
          <w:trHeight w:val="26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1,4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70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  <w:tr>
        <w:trPr>
          <w:trHeight w:val="26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1,3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82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  <w:tr>
        <w:trPr>
          <w:trHeight w:val="264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1,2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96</w:t>
            </w:r>
          </w:p>
        </w:tc>
        <w:tc>
          <w:tcPr>
            <w:vMerge/>
            <w:tcBorders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  <w:tr>
        <w:trPr>
          <w:trHeight w:val="269" w:hRule="exact"/>
        </w:trPr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100...160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1,1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110.176</w:t>
            </w:r>
          </w:p>
        </w:tc>
        <w:tc>
          <w:tcPr>
            <w:vMerge/>
            <w:tcBorders>
              <w:left w:val="single" w:sz="4"/>
              <w:bottom w:val="single" w:sz="4"/>
              <w:right w:val="single" w:sz="4"/>
            </w:tcBorders>
            <w:shd w:val="clear" w:color="auto" w:fill="FFFFFF"/>
            <w:vAlign w:val="center"/>
          </w:tcPr>
          <w:p>
            <w:pPr/>
          </w:p>
        </w:tc>
      </w:tr>
    </w:tbl>
    <w:p>
      <w:pPr>
        <w:spacing w:lineRule="exact" w:line="1"/>
        <w:rPr>
          <w:sz w:val="2"/>
          <w:szCs w:val="2"/>
        </w:rPr>
      </w:pPr>
      <w:r>
        <w:br w:type="page"/>
      </w:r>
    </w:p>
    <w:p>
      <w:pPr>
        <w:pStyle w:val="Style2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Таблиця </w:t>
      </w:r>
      <w:r>
        <w:rPr>
          <w:b/>
          <w:bCs/>
          <w:color w:val="000000"/>
          <w:spacing w:val="0"/>
          <w:w w:val="100"/>
          <w:position w:val="0"/>
        </w:rPr>
        <w:t xml:space="preserve">2. </w:t>
      </w:r>
      <w:r>
        <w:rPr>
          <w:color w:val="000000"/>
          <w:spacing w:val="0"/>
          <w:w w:val="100"/>
          <w:position w:val="0"/>
        </w:rPr>
        <w:t xml:space="preserve">Мінімальний запас міцності шліфувальних кругів </w:t>
      </w:r>
      <w:r>
        <w:rPr>
          <w:b/>
          <w:bCs/>
          <w:color w:val="000000"/>
          <w:spacing w:val="0"/>
          <w:w w:val="100"/>
          <w:position w:val="0"/>
        </w:rPr>
        <w:t xml:space="preserve">Table </w:t>
      </w:r>
      <w:r>
        <w:rPr>
          <w:b/>
          <w:bCs/>
          <w:color w:val="000000"/>
          <w:spacing w:val="0"/>
          <w:w w:val="100"/>
          <w:position w:val="0"/>
        </w:rPr>
        <w:t xml:space="preserve">2. </w:t>
      </w:r>
      <w:r>
        <w:rPr>
          <w:color w:val="000000"/>
          <w:spacing w:val="0"/>
          <w:w w:val="100"/>
          <w:position w:val="0"/>
        </w:rPr>
        <w:t>Minimum margin grinding wheels</w:t>
      </w:r>
    </w:p>
    <w:tbl>
      <w:tblPr>
        <w:tblOverlap w:val="never"/>
        <w:jc w:val="center"/>
        <w:tblLayout w:type="fixed"/>
      </w:tblPr>
      <w:tblGrid>
        <w:gridCol w:w="1920"/>
        <w:gridCol w:w="1925"/>
        <w:gridCol w:w="1801"/>
        <w:gridCol w:w="2400"/>
        <w:gridCol w:w="1535"/>
      </w:tblGrid>
      <w:tr>
        <w:trPr>
          <w:trHeight w:val="1155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Вид машини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Спосіб викорис</w:t>
              <w:softHyphen/>
              <w:t>тання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Максимальна робоча швид</w:t>
              <w:softHyphen/>
              <w:t>кість</w:t>
            </w:r>
          </w:p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21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К</w:t>
            </w:r>
            <w:r>
              <w:rPr>
                <w:color w:val="000000"/>
                <w:spacing w:val="0"/>
                <w:w w:val="100"/>
                <w:position w:val="0"/>
                <w:sz w:val="18"/>
                <w:szCs w:val="18"/>
              </w:rPr>
              <w:t>р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м/с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Мінімальна швидкість, при якій відбувається руйнування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V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  <w:vertAlign w:val="subscript"/>
              </w:rPr>
              <w:t>po3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м/с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Мінімальний запас міцнос</w:t>
              <w:softHyphen/>
              <w:t xml:space="preserve">ті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n</w:t>
            </w:r>
          </w:p>
        </w:tc>
      </w:tr>
      <w:tr>
        <w:trPr>
          <w:trHeight w:val="261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Стаціонарні від</w:t>
              <w:softHyphen/>
              <w:t>різні машини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Примусове центрування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40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70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1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87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6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109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1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139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1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Стаціонарні шлі</w:t>
              <w:softHyphen/>
              <w:t>фувальні машини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Шліфування з ручною подачею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87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1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109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6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3,5</w:t>
            </w:r>
          </w:p>
        </w:tc>
      </w:tr>
      <w:tr>
        <w:trPr>
          <w:trHeight w:val="261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Шліфувальні ма</w:t>
              <w:softHyphen/>
              <w:t>шини з ручною подачею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Ручне шліфуван</w:t>
              <w:softHyphen/>
              <w:t>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87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3,0</w:t>
            </w:r>
          </w:p>
        </w:tc>
      </w:tr>
      <w:tr>
        <w:trPr>
          <w:trHeight w:val="266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118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3,5</w:t>
            </w:r>
          </w:p>
        </w:tc>
      </w:tr>
      <w:tr>
        <w:trPr>
          <w:trHeight w:val="261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bottom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3,5</w:t>
            </w:r>
          </w:p>
        </w:tc>
      </w:tr>
      <w:tr>
        <w:trPr>
          <w:trHeight w:val="261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Стаціонарні від</w:t>
              <w:softHyphen/>
              <w:t>різні шліфувальні машини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Примусове центрування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90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2,0</w:t>
            </w:r>
          </w:p>
        </w:tc>
      </w:tr>
      <w:tr>
        <w:trPr>
          <w:trHeight w:val="266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113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2,0</w:t>
            </w:r>
          </w:p>
        </w:tc>
      </w:tr>
      <w:tr>
        <w:trPr>
          <w:trHeight w:val="261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141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2,0</w:t>
            </w:r>
          </w:p>
        </w:tc>
      </w:tr>
      <w:tr>
        <w:trPr>
          <w:trHeight w:val="1022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/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Відрізання шлі</w:t>
              <w:softHyphen/>
              <w:t xml:space="preserve">фувальним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кру</w:t>
              <w:softHyphen/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гом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з ручною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по</w:t>
              <w:softHyphen/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дачею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3,5</w:t>
            </w:r>
          </w:p>
        </w:tc>
      </w:tr>
      <w:tr>
        <w:trPr>
          <w:trHeight w:val="261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Відрізні шліфу</w:t>
              <w:softHyphen/>
              <w:t>вальні машини з ручною подачею</w:t>
            </w:r>
          </w:p>
        </w:tc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Ручне відрізання шліфувальним кругом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3,5</w:t>
            </w:r>
          </w:p>
        </w:tc>
      </w:tr>
      <w:tr>
        <w:trPr>
          <w:trHeight w:val="513" w:hRule="exact"/>
        </w:trPr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bottom"/>
          </w:tcPr>
          <w:p>
            <w:pPr/>
          </w:p>
        </w:tc>
        <w:tc>
          <w:tcPr>
            <w:vMerge/>
            <w:tcBorders>
              <w:left w:val="single" w:sz="4"/>
              <w:bottom w:val="single" w:sz="4"/>
            </w:tcBorders>
            <w:shd w:val="clear" w:color="auto" w:fill="FFFFFF"/>
            <w:vAlign w:val="bottom"/>
          </w:tcPr>
          <w:p>
            <w:pPr/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100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188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3,5</w:t>
            </w:r>
          </w:p>
        </w:tc>
      </w:tr>
    </w:tbl>
    <w:p>
      <w:pPr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12" w:right="1053" w:bottom="1282" w:left="974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65" w:lineRule="exact"/>
        <w:rPr>
          <w:sz w:val="5"/>
          <w:szCs w:val="5"/>
        </w:rPr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84" w:right="0" w:bottom="1522" w:left="0" w:header="0" w:footer="3" w:gutter="0"/>
          <w:cols w:space="720"/>
          <w:noEndnote/>
          <w:rtlGutter w:val="0"/>
          <w:docGrid w:linePitch="360"/>
        </w:sectPr>
      </w:pP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швидкостей обертання, при яких відбува</w:t>
        <w:softHyphen/>
        <w:t>лося руйнування круга, здійснювалося на спеціальному стенді. Система керування стендом дозволяла монотонно підвищувати частоту обертання шпинделя, яка реєстру</w:t>
        <w:softHyphen/>
        <w:t>валася частотоміром.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Круги зі зміцнювальним елементом є ті</w:t>
        <w:softHyphen/>
        <w:t xml:space="preserve">лами, що мають анізотропію механічних </w:t>
      </w:r>
      <w:r>
        <w:rPr>
          <w:color w:val="000000"/>
          <w:spacing w:val="0"/>
          <w:w w:val="100"/>
          <w:position w:val="0"/>
          <w:sz w:val="24"/>
          <w:szCs w:val="24"/>
        </w:rPr>
        <w:t>властивостей. Використання як зміцнюва</w:t>
        <w:softHyphen/>
        <w:t>льних елементів дисків із склосітки з квад</w:t>
        <w:softHyphen/>
        <w:t>ратним осередком зумовлює те, що круги володіють ортотропією механічних власти</w:t>
        <w:softHyphen/>
        <w:t>востей [5].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84" w:right="1102" w:bottom="1522" w:left="1107" w:header="0" w:footer="3" w:gutter="0"/>
          <w:cols w:num="2" w:space="513"/>
          <w:noEndnote/>
          <w:rtlGutter w:val="0"/>
          <w:docGrid w:linePitch="360"/>
        </w:sectPr>
      </w:pPr>
      <w:r>
        <w:rPr>
          <w:color w:val="000000"/>
          <w:spacing w:val="0"/>
          <w:w w:val="100"/>
          <w:position w:val="0"/>
          <w:sz w:val="24"/>
          <w:szCs w:val="24"/>
        </w:rPr>
        <w:t>Руйнівна напруга залежить від орієнтації волокон склосітки і при розтягуванні вира</w:t>
        <w:softHyphen/>
        <w:t>жається залежністю, яка дозволяє визначи-</w:t>
      </w:r>
    </w:p>
    <w:p>
      <w:pPr>
        <w:widowControl w:val="0"/>
        <w:spacing w:line="137" w:lineRule="exact"/>
        <w:rPr>
          <w:sz w:val="11"/>
          <w:szCs w:val="11"/>
        </w:rPr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84" w:right="0" w:bottom="1484" w:left="0" w:header="0" w:footer="3" w:gutter="0"/>
          <w:cols w:space="720"/>
          <w:noEndnote/>
          <w:rtlGutter w:val="0"/>
          <w:docGrid w:linePitch="360"/>
        </w:sectPr>
      </w:pP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40" w:line="240" w:lineRule="auto"/>
        <w:ind w:left="0" w:right="0" w:firstLine="0"/>
        <w:jc w:val="center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2"/>
          <w:szCs w:val="22"/>
        </w:rPr>
        <w:t xml:space="preserve">Таблиця </w:t>
      </w:r>
      <w:r>
        <w:rPr>
          <w:b/>
          <w:bCs/>
          <w:color w:val="000000"/>
          <w:spacing w:val="0"/>
          <w:w w:val="100"/>
          <w:position w:val="0"/>
          <w:sz w:val="22"/>
          <w:szCs w:val="22"/>
        </w:rPr>
        <w:t xml:space="preserve">3. </w:t>
      </w:r>
      <w:r>
        <w:rPr>
          <w:color w:val="000000"/>
          <w:spacing w:val="0"/>
          <w:w w:val="100"/>
          <w:position w:val="0"/>
          <w:sz w:val="22"/>
          <w:szCs w:val="22"/>
        </w:rPr>
        <w:t>Результати випробування кругів 0300мм</w:t>
      </w:r>
    </w:p>
    <w:p>
      <w:pPr>
        <w:pStyle w:val="Style2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 xml:space="preserve">Table </w:t>
      </w:r>
      <w:r>
        <w:rPr>
          <w:b/>
          <w:bCs/>
          <w:color w:val="000000"/>
          <w:spacing w:val="0"/>
          <w:w w:val="100"/>
          <w:position w:val="0"/>
        </w:rPr>
        <w:t xml:space="preserve">3. </w:t>
      </w:r>
      <w:r>
        <w:rPr>
          <w:color w:val="000000"/>
          <w:spacing w:val="0"/>
          <w:w w:val="100"/>
          <w:position w:val="0"/>
        </w:rPr>
        <w:t>Results of test discs 0300mm</w:t>
      </w:r>
    </w:p>
    <w:tbl>
      <w:tblPr>
        <w:tblOverlap w:val="never"/>
        <w:jc w:val="center"/>
        <w:tblLayout w:type="fixed"/>
      </w:tblPr>
      <w:tblGrid>
        <w:gridCol w:w="2999"/>
        <w:gridCol w:w="1792"/>
        <w:gridCol w:w="1701"/>
        <w:gridCol w:w="1701"/>
        <w:gridCol w:w="1426"/>
      </w:tblGrid>
      <w:tr>
        <w:trPr>
          <w:trHeight w:val="1131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Спосіб армування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Відсотковий вміст зміцнюва</w:t>
              <w:softHyphen/>
              <w:t>льних елементів в крузі, %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Руйнівна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час</w:t>
              <w:softHyphen/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тота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обертання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22"/>
                <w:szCs w:val="22"/>
              </w:rPr>
              <w:t>О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об/хв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Межа міцності при розтягу</w:t>
              <w:softHyphen/>
              <w:t xml:space="preserve">ванні </w:t>
            </w: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22"/>
                <w:szCs w:val="22"/>
              </w:rPr>
              <w:t>О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  <w:vertAlign w:val="subscript"/>
              </w:rPr>
              <w:t>r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кг/см</w:t>
            </w:r>
            <w:r>
              <w:rPr>
                <w:color w:val="000000"/>
                <w:spacing w:val="0"/>
                <w:w w:val="100"/>
                <w:position w:val="0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Межа міц</w:t>
              <w:softHyphen/>
              <w:t>ності при вигині</w:t>
            </w:r>
          </w:p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18" w:lineRule="auto"/>
              <w:ind w:left="0" w:right="0" w:firstLine="200"/>
              <w:jc w:val="left"/>
            </w:pPr>
            <w:r>
              <w:rPr>
                <w:rFonts w:ascii="Arial" w:eastAsia="Arial" w:hAnsi="Arial" w:cs="Arial"/>
                <w:color w:val="000000"/>
                <w:spacing w:val="0"/>
                <w:w w:val="100"/>
                <w:position w:val="0"/>
                <w:sz w:val="22"/>
                <w:szCs w:val="22"/>
              </w:rPr>
              <w:t>О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  <w:vertAlign w:val="subscript"/>
              </w:rPr>
              <w:t>u</w:t>
            </w: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, кг/см</w:t>
            </w:r>
            <w:r>
              <w:rPr>
                <w:color w:val="000000"/>
                <w:spacing w:val="0"/>
                <w:w w:val="100"/>
                <w:position w:val="0"/>
                <w:sz w:val="24"/>
                <w:szCs w:val="24"/>
                <w:vertAlign w:val="superscript"/>
              </w:rPr>
              <w:t>2</w:t>
            </w:r>
          </w:p>
        </w:tc>
      </w:tr>
      <w:tr>
        <w:trPr>
          <w:trHeight w:val="470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tabs>
                <w:tab w:pos="952" w:val="left"/>
                <w:tab w:pos="1760" w:val="left"/>
                <w:tab w:pos="2824" w:val="left"/>
              </w:tabs>
              <w:bidi w:val="0"/>
              <w:spacing w:before="0" w:after="0" w:line="240" w:lineRule="auto"/>
              <w:ind w:left="0" w:right="0" w:firstLine="22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•, •. ■</w:t>
              <w:tab/>
              <w:t>■</w:t>
              <w:tab/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 xml:space="preserve">I’fe </w:t>
            </w: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' ■ ;</w:t>
              <w:tab/>
              <w:t>.</w:t>
            </w:r>
          </w:p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tabs>
                <w:tab w:pos="2395" w:val="left"/>
              </w:tabs>
              <w:bidi w:val="0"/>
              <w:spacing w:before="0" w:after="0" w:line="180" w:lineRule="auto"/>
              <w:ind w:left="0" w:right="0" w:firstLine="0"/>
              <w:jc w:val="left"/>
              <w:rPr>
                <w:sz w:val="34"/>
                <w:szCs w:val="34"/>
              </w:rPr>
            </w:pPr>
            <w:r>
              <w:rPr>
                <w:strike/>
                <w:color w:val="707070"/>
                <w:spacing w:val="0"/>
                <w:w w:val="100"/>
                <w:position w:val="0"/>
                <w:sz w:val="34"/>
                <w:szCs w:val="34"/>
              </w:rPr>
              <w:t>U</w:t>
              <w:tab/>
            </w:r>
            <w:r>
              <w:rPr>
                <w:strike/>
                <w:color w:val="707070"/>
                <w:spacing w:val="0"/>
                <w:w w:val="100"/>
                <w:position w:val="0"/>
                <w:sz w:val="34"/>
                <w:szCs w:val="34"/>
              </w:rPr>
              <w:t>_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5200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96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</w:t>
            </w:r>
          </w:p>
        </w:tc>
      </w:tr>
      <w:tr>
        <w:trPr>
          <w:trHeight w:val="461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8000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250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250</w:t>
            </w:r>
          </w:p>
        </w:tc>
      </w:tr>
      <w:tr>
        <w:trPr>
          <w:trHeight w:val="504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tabs>
                <w:tab w:pos="1022" w:val="left"/>
                <w:tab w:pos="1331" w:val="left"/>
              </w:tabs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color w:val="707070"/>
                <w:spacing w:val="0"/>
                <w:w w:val="100"/>
                <w:position w:val="0"/>
                <w:sz w:val="30"/>
                <w:szCs w:val="30"/>
              </w:rPr>
              <w:t>l&gt;</w:t>
              <w:tab/>
            </w:r>
            <w:r>
              <w:rPr>
                <w:i/>
                <w:iCs/>
                <w:color w:val="707070"/>
                <w:spacing w:val="0"/>
                <w:w w:val="100"/>
                <w:position w:val="0"/>
                <w:sz w:val="22"/>
                <w:szCs w:val="22"/>
                <w:u w:val="single"/>
              </w:rPr>
              <w:t>'її'</w:t>
              <w:tab/>
              <w:t>■</w:t>
            </w:r>
            <w:r>
              <w:rPr>
                <w:i/>
                <w:iCs/>
                <w:color w:val="707070"/>
                <w:spacing w:val="0"/>
                <w:w w:val="100"/>
                <w:position w:val="0"/>
                <w:sz w:val="22"/>
                <w:szCs w:val="22"/>
              </w:rPr>
              <w:t xml:space="preserve"> —_ ~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6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10200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300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470</w:t>
            </w:r>
          </w:p>
        </w:tc>
      </w:tr>
      <w:tr>
        <w:trPr>
          <w:trHeight w:val="509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920" w:right="0" w:firstLine="0"/>
              <w:jc w:val="left"/>
              <w:rPr>
                <w:sz w:val="30"/>
                <w:szCs w:val="30"/>
              </w:rPr>
            </w:pPr>
            <w:r>
              <w:rPr>
                <w:color w:val="434343"/>
                <w:spacing w:val="0"/>
                <w:w w:val="100"/>
                <w:position w:val="0"/>
                <w:sz w:val="30"/>
                <w:szCs w:val="30"/>
              </w:rPr>
              <w:t>-</w:t>
            </w:r>
            <w:r>
              <w:rPr>
                <w:color w:val="434343"/>
                <w:spacing w:val="0"/>
                <w:w w:val="100"/>
                <w:position w:val="0"/>
                <w:sz w:val="30"/>
                <w:szCs w:val="30"/>
              </w:rPr>
              <w:t xml:space="preserve">1 </w:t>
            </w:r>
            <w:r>
              <w:rPr>
                <w:color w:val="434343"/>
                <w:spacing w:val="0"/>
                <w:w w:val="100"/>
                <w:position w:val="0"/>
                <w:sz w:val="30"/>
                <w:szCs w:val="30"/>
              </w:rPr>
              <w:t xml:space="preserve">-^2 </w:t>
            </w:r>
            <w:r>
              <w:rPr>
                <w:color w:val="434343"/>
                <w:spacing w:val="0"/>
                <w:w w:val="100"/>
                <w:position w:val="0"/>
                <w:sz w:val="30"/>
                <w:szCs w:val="30"/>
              </w:rPr>
              <w:t>J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9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11000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350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</w:rPr>
              <w:t>400</w:t>
            </w:r>
          </w:p>
        </w:tc>
      </w:tr>
    </w:tbl>
    <w:p>
      <w:pPr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84" w:right="1102" w:bottom="1484" w:left="1107" w:header="0" w:footer="3" w:gutter="0"/>
          <w:cols w:space="720"/>
          <w:noEndnote/>
          <w:rtlGutter w:val="0"/>
          <w:docGrid w:linePitch="360"/>
        </w:sectPr>
      </w:pP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ти межу міцності для будь-якого напряму по відношенню до вибраного волокна:</w:t>
      </w:r>
    </w:p>
    <w:p>
      <w:pPr>
        <w:pStyle w:val="Style14"/>
        <w:keepNext w:val="0"/>
        <w:keepLines w:val="0"/>
        <w:widowControl w:val="0"/>
        <w:shd w:val="clear" w:color="auto" w:fill="auto"/>
        <w:tabs>
          <w:tab w:leader="hyphen" w:pos="2478" w:val="left"/>
          <w:tab w:leader="hyphen" w:pos="3708" w:val="left"/>
          <w:tab w:leader="hyphen" w:pos="4006" w:val="left"/>
        </w:tabs>
        <w:bidi w:val="0"/>
        <w:spacing w:before="0" w:after="0" w:line="240" w:lineRule="auto"/>
        <w:ind w:left="0" w:right="0"/>
        <w:jc w:val="both"/>
      </w:pP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""</w:t>
      </w:r>
      <w:r>
        <w:rPr>
          <w:color w:val="000000"/>
          <w:spacing w:val="0"/>
          <w:w w:val="100"/>
          <w:position w:val="0"/>
          <w:sz w:val="34"/>
          <w:szCs w:val="34"/>
        </w:rPr>
        <w:t>■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4</w:t>
        <w:tab/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perscript"/>
        </w:rPr>
        <w:t>1</w:t>
      </w:r>
      <w:r>
        <w:rPr>
          <w:color w:val="000000"/>
          <w:spacing w:val="0"/>
          <w:w w:val="100"/>
          <w:position w:val="0"/>
          <w:sz w:val="24"/>
          <w:szCs w:val="24"/>
        </w:rPr>
        <w:tab/>
        <w:tab/>
        <w:t>, (2)</w:t>
      </w:r>
    </w:p>
    <w:p>
      <w:pPr>
        <w:pStyle w:val="Style14"/>
        <w:keepNext w:val="0"/>
        <w:keepLines w:val="0"/>
        <w:widowControl w:val="0"/>
        <w:shd w:val="clear" w:color="auto" w:fill="auto"/>
        <w:tabs>
          <w:tab w:pos="895" w:val="left"/>
        </w:tabs>
        <w:bidi w:val="0"/>
        <w:spacing w:before="0" w:after="40" w:line="185" w:lineRule="auto"/>
        <w:ind w:left="0" w:right="0"/>
        <w:jc w:val="both"/>
        <w:rPr>
          <w:sz w:val="22"/>
          <w:szCs w:val="22"/>
        </w:rPr>
      </w:pPr>
      <w:r>
        <w:rPr>
          <w:i/>
          <w:iCs/>
          <w:color w:val="000000"/>
          <w:spacing w:val="0"/>
          <w:w w:val="100"/>
          <w:position w:val="0"/>
          <w:sz w:val="26"/>
          <w:szCs w:val="26"/>
          <w:vertAlign w:val="superscript"/>
        </w:rPr>
        <w:t>O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1</w:t>
      </w:r>
      <w:r>
        <w:rPr>
          <w:color w:val="000000"/>
          <w:spacing w:val="0"/>
          <w:w w:val="100"/>
          <w:position w:val="0"/>
          <w:sz w:val="24"/>
          <w:szCs w:val="24"/>
        </w:rPr>
        <w:tab/>
        <w:t>cos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perscript"/>
        </w:rPr>
        <w:t>4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 " +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b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k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■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sin </w:t>
      </w:r>
      <w:r>
        <w:rPr>
          <w:i/>
          <w:iCs/>
          <w:smallCaps/>
          <w:color w:val="000000"/>
          <w:spacing w:val="0"/>
          <w:w w:val="100"/>
          <w:position w:val="0"/>
          <w:sz w:val="22"/>
          <w:szCs w:val="22"/>
        </w:rPr>
        <w:t>2</w:t>
      </w:r>
      <w:r>
        <w:rPr>
          <w:i/>
          <w:iCs/>
          <w:smallCaps/>
          <w:color w:val="000000"/>
          <w:spacing w:val="0"/>
          <w:w w:val="100"/>
          <w:position w:val="0"/>
          <w:sz w:val="24"/>
          <w:szCs w:val="24"/>
        </w:rPr>
        <w:t>" + o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■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sin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perscript"/>
        </w:rPr>
        <w:t>4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 "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4"/>
          <w:szCs w:val="24"/>
        </w:rPr>
      </w:pP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24"/>
          <w:szCs w:val="24"/>
        </w:rPr>
        <w:t xml:space="preserve">де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  <w:vertAlign w:val="subscript"/>
        </w:rPr>
        <w:t>k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color w:val="000000"/>
          <w:spacing w:val="0"/>
          <w:w w:val="100"/>
          <w:position w:val="0"/>
          <w:sz w:val="22"/>
          <w:szCs w:val="22"/>
        </w:rPr>
        <w:t>= -°--°-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28"/>
          <w:szCs w:val="28"/>
        </w:rPr>
        <w:t xml:space="preserve">, 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</w:rPr>
        <w:t xml:space="preserve">r </w:t>
      </w:r>
      <w:r>
        <w:rPr>
          <w:color w:val="000000"/>
          <w:spacing w:val="0"/>
          <w:w w:val="100"/>
          <w:position w:val="0"/>
          <w:sz w:val="22"/>
          <w:szCs w:val="22"/>
        </w:rPr>
        <w:t>= —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24"/>
          <w:szCs w:val="24"/>
        </w:rPr>
        <w:t>.</w:t>
      </w:r>
    </w:p>
    <w:p>
      <w:pPr>
        <w:pStyle w:val="Style54"/>
        <w:keepNext/>
        <w:keepLines/>
        <w:widowControl w:val="0"/>
        <w:shd w:val="clear" w:color="auto" w:fill="auto"/>
        <w:tabs>
          <w:tab w:pos="1498" w:val="left"/>
          <w:tab w:pos="2478" w:val="left"/>
        </w:tabs>
        <w:bidi w:val="0"/>
        <w:spacing w:before="0" w:after="0"/>
        <w:ind w:left="0" w:right="0"/>
        <w:jc w:val="both"/>
      </w:pPr>
      <w:bookmarkStart w:id="0" w:name="bookmark0"/>
      <w:bookmarkStart w:id="1" w:name="bookmark1"/>
      <w:bookmarkStart w:id="2" w:name="bookmark2"/>
      <w:r>
        <w:rPr>
          <w:i w:val="0"/>
          <w:iCs w:val="0"/>
          <w:color w:val="000000"/>
          <w:spacing w:val="0"/>
          <w:w w:val="100"/>
          <w:position w:val="0"/>
          <w:sz w:val="36"/>
          <w:szCs w:val="36"/>
          <w:vertAlign w:val="superscript"/>
        </w:rPr>
        <w:t>o</w:t>
      </w:r>
      <w:r>
        <w:rPr>
          <w:color w:val="000000"/>
          <w:spacing w:val="0"/>
          <w:w w:val="100"/>
          <w:position w:val="0"/>
        </w:rPr>
        <w:t>12</w:t>
      </w:r>
      <w:r>
        <w:rPr>
          <w:smallCaps w:val="0"/>
          <w:color w:val="000000"/>
          <w:spacing w:val="0"/>
          <w:w w:val="100"/>
          <w:position w:val="0"/>
          <w:sz w:val="40"/>
          <w:szCs w:val="40"/>
        </w:rPr>
        <w:tab/>
      </w:r>
      <w:r>
        <w:rPr>
          <w:smallCaps w:val="0"/>
          <w:color w:val="000000"/>
          <w:spacing w:val="0"/>
          <w:w w:val="100"/>
          <w:position w:val="0"/>
          <w:sz w:val="40"/>
          <w:szCs w:val="40"/>
          <w:vertAlign w:val="superscript"/>
        </w:rPr>
        <w:t>4</w:t>
        <w:tab/>
      </w:r>
      <w:r>
        <w:rPr>
          <w:color w:val="000000"/>
          <w:spacing w:val="0"/>
          <w:w w:val="100"/>
          <w:position w:val="0"/>
          <w:sz w:val="36"/>
          <w:szCs w:val="36"/>
          <w:vertAlign w:val="superscript"/>
        </w:rPr>
        <w:t>o</w:t>
      </w:r>
      <w:r>
        <w:rPr>
          <w:color w:val="000000"/>
          <w:spacing w:val="0"/>
          <w:w w:val="100"/>
          <w:position w:val="0"/>
        </w:rPr>
        <w:t>2</w:t>
      </w:r>
      <w:bookmarkEnd w:id="0"/>
      <w:bookmarkEnd w:id="1"/>
      <w:bookmarkEnd w:id="2"/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32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 xml:space="preserve">У табл.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3 </w:t>
      </w:r>
      <w:r>
        <w:rPr>
          <w:color w:val="000000"/>
          <w:spacing w:val="0"/>
          <w:w w:val="100"/>
          <w:position w:val="0"/>
          <w:sz w:val="24"/>
          <w:szCs w:val="24"/>
        </w:rPr>
        <w:t>наведені значення міцністних характеристик прямокутних зразків, вирі</w:t>
        <w:softHyphen/>
        <w:t>заних з кругів при розтягуванні та вигині. Випробування проводилися на розривній машині МРС-50. У табл. 3 представлені ре</w:t>
        <w:softHyphen/>
        <w:t>зультати випробування кругів 0300мм.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32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На рис. 1 представлений характер руйну</w:t>
        <w:softHyphen/>
        <w:t>вання кругів при розриві, який залежить від матеріалу круга та виду напруженого стану. Як видно з рисунка, руйнування відбува</w:t>
        <w:softHyphen/>
        <w:t>ється без залишкових деформацій крихким чином. Діючи на неоднорідний матеріал, поле напруги стає також неоднорідним і створює концентрацію напруги в околиці будь-якого дефекту. Досягнення граничної напруги, яку витримує матеріал круга, ви</w:t>
        <w:softHyphen/>
        <w:t>значається числом і розміром неоднорідно- стей, що утворюють порожнини. Це при</w:t>
        <w:softHyphen/>
        <w:t xml:space="preserve">зводить до поширення тріщин. Тріщини </w:t>
      </w:r>
      <w:r>
        <w:rPr>
          <w:color w:val="000000"/>
          <w:spacing w:val="0"/>
          <w:w w:val="100"/>
          <w:position w:val="0"/>
          <w:sz w:val="24"/>
          <w:szCs w:val="24"/>
        </w:rPr>
        <w:t>поширюються переважно вздовж зон з ме</w:t>
        <w:softHyphen/>
        <w:t>ншою щільністю. Визначальну роль тут має швидкість поширення, адже зростаючі трі</w:t>
        <w:softHyphen/>
        <w:t>щини швидше розділяють молекули, чим розривають їх. Завдяки цій напрузі тріщина розповсюджується за рахунок крихкого ру</w:t>
        <w:softHyphen/>
        <w:t>йнування із значним розгалуженням. Роз</w:t>
        <w:softHyphen/>
        <w:t>рив ланцюгів відбувається не лише в пло</w:t>
        <w:softHyphen/>
        <w:t>щині тріщини, але і на значній глибині з кожного боку. Осередки руйнування поши</w:t>
        <w:softHyphen/>
        <w:t>рюються в напрямі, перпендикулярному розтягуванню. При зустрічі фронтів хвилі руйнування утворюються лінії сколів, що мають форму більш менш правильно окре</w:t>
        <w:softHyphen/>
        <w:t>слених гіпербол. Безладне накладення один на одного великого числа сколів утворює шорстку поверхню руйнування. У перенап</w:t>
        <w:softHyphen/>
        <w:t>ружених областях невеликі розриви вини</w:t>
        <w:softHyphen/>
        <w:t>кають та розвиваються в ході усього циклу деформації. Вони можуть бути зупинені внаслідок зміцнення волокнами або релак</w:t>
        <w:softHyphen/>
        <w:t>сацією напруги при вершині тріщини.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  <w:sectPr>
          <w:footnotePr>
            <w:pos w:val="pageBottom"/>
            <w:numFmt w:val="decimal"/>
            <w:numRestart w:val="continuous"/>
          </w:footnotePr>
          <w:pgSz w:w="11900" w:h="16840"/>
          <w:pgMar w:top="1412" w:right="1095" w:bottom="1422" w:left="1100" w:header="0" w:footer="3" w:gutter="0"/>
          <w:cols w:num="2" w:space="513"/>
          <w:noEndnote/>
          <w:rtlGutter w:val="0"/>
          <w:docGrid w:linePitch="360"/>
        </w:sectPr>
      </w:pPr>
      <w:r>
        <w:rPr>
          <w:color w:val="000000"/>
          <w:spacing w:val="0"/>
          <w:w w:val="100"/>
          <w:position w:val="0"/>
          <w:sz w:val="24"/>
          <w:szCs w:val="24"/>
        </w:rPr>
        <w:t>При збільшенні вмісту зміцнювальних елементів в крузі від 0 до 9% відбувається підвищення міцності круга, в якій основну роль відіграє властивість зв'язуючого та</w:t>
      </w:r>
    </w:p>
    <w:p>
      <w:pPr>
        <w:widowControl w:val="0"/>
        <w:spacing w:before="39" w:after="39" w:line="240" w:lineRule="exact"/>
        <w:rPr>
          <w:sz w:val="19"/>
          <w:szCs w:val="19"/>
        </w:rPr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046" w:right="0" w:bottom="1027" w:left="0" w:header="0" w:footer="3" w:gutter="0"/>
          <w:cols w:space="720"/>
          <w:noEndnote/>
          <w:rtlGutter w:val="0"/>
          <w:docGrid w:linePitch="360"/>
        </w:sectPr>
      </w:pPr>
    </w:p>
    <w:p>
      <w:pPr>
        <w:pStyle w:val="Style59"/>
        <w:keepNext w:val="0"/>
        <w:keepLines w:val="0"/>
        <w:framePr w:w="9562" w:h="528" w:wrap="none" w:vAnchor="text" w:hAnchor="page" w:x="1177" w:y="4687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  <w:rPr>
          <w:sz w:val="20"/>
          <w:szCs w:val="20"/>
        </w:rPr>
      </w:pPr>
      <w:r>
        <w:rPr>
          <w:color w:val="000000"/>
          <w:spacing w:val="0"/>
          <w:w w:val="100"/>
          <w:position w:val="0"/>
          <w:sz w:val="22"/>
          <w:szCs w:val="22"/>
        </w:rPr>
        <w:t>Рис</w:t>
      </w:r>
      <w:r>
        <w:rPr>
          <w:b/>
          <w:bCs/>
          <w:color w:val="000000"/>
          <w:spacing w:val="0"/>
          <w:w w:val="100"/>
          <w:position w:val="0"/>
          <w:sz w:val="22"/>
          <w:szCs w:val="22"/>
        </w:rPr>
        <w:t xml:space="preserve">. 1.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Руйнування абразивних кругів з різним зміцненням при обертанні під дією відцентрових сил: </w:t>
      </w:r>
      <w:r>
        <w:rPr>
          <w:i/>
          <w:iCs/>
          <w:color w:val="000000"/>
          <w:spacing w:val="0"/>
          <w:w w:val="100"/>
          <w:position w:val="0"/>
          <w:sz w:val="20"/>
          <w:szCs w:val="20"/>
        </w:rPr>
        <w:t>а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 - зміцнення двома склосітками; </w:t>
      </w:r>
      <w:r>
        <w:rPr>
          <w:i/>
          <w:iCs/>
          <w:color w:val="000000"/>
          <w:spacing w:val="0"/>
          <w:w w:val="100"/>
          <w:position w:val="0"/>
          <w:sz w:val="20"/>
          <w:szCs w:val="20"/>
        </w:rPr>
        <w:t>б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 - зміцнення однією склосіткою; в - без зміцнення;</w:t>
      </w:r>
    </w:p>
    <w:p>
      <w:pPr>
        <w:widowControl w:val="0"/>
        <w:spacing w:line="360" w:lineRule="exact"/>
      </w:pPr>
      <w:r>
        <w:drawing>
          <wp:anchor distT="0" distB="338455" distL="1593850" distR="1417320" simplePos="0" relativeHeight="62914700" behindDoc="1" locked="0" layoutInCell="1" allowOverlap="1">
            <wp:simplePos x="0" y="0"/>
            <wp:positionH relativeFrom="page">
              <wp:posOffset>2340610</wp:posOffset>
            </wp:positionH>
            <wp:positionV relativeFrom="paragraph">
              <wp:posOffset>12700</wp:posOffset>
            </wp:positionV>
            <wp:extent cx="3060065" cy="2962910"/>
            <wp:wrapNone/>
            <wp:docPr id="13" name="Shape 1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box 14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3060065" cy="296291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line="360" w:lineRule="exact"/>
      </w:pPr>
    </w:p>
    <w:p>
      <w:pPr>
        <w:widowControl w:val="0"/>
        <w:spacing w:after="513" w:line="1" w:lineRule="exact"/>
      </w:pP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046" w:right="1095" w:bottom="1027" w:left="1100" w:header="0" w:footer="3" w:gutter="0"/>
          <w:cols w:space="720"/>
          <w:noEndnote/>
          <w:rtlGutter w:val="0"/>
          <w:docGrid w:linePitch="360"/>
        </w:sectPr>
      </w:pPr>
    </w:p>
    <w:p>
      <w:pPr>
        <w:pStyle w:val="Style64"/>
        <w:keepNext w:val="0"/>
        <w:keepLines w:val="0"/>
        <w:widowControl w:val="0"/>
        <w:shd w:val="clear" w:color="auto" w:fill="auto"/>
        <w:bidi w:val="0"/>
        <w:spacing w:before="0" w:after="280" w:line="240" w:lineRule="auto"/>
        <w:ind w:left="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</w:rPr>
        <w:t>г</w:t>
      </w:r>
      <w:r>
        <w:rPr>
          <w:color w:val="000000"/>
          <w:spacing w:val="0"/>
          <w:w w:val="100"/>
          <w:position w:val="0"/>
        </w:rPr>
        <w:t xml:space="preserve"> - зміцнення трьома скло сітками</w:t>
      </w:r>
    </w:p>
    <w:p>
      <w:pPr>
        <w:pStyle w:val="Style6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380"/>
        <w:jc w:val="left"/>
        <w:sectPr>
          <w:footnotePr>
            <w:pos w:val="pageBottom"/>
            <w:numFmt w:val="decimal"/>
            <w:numRestart w:val="continuous"/>
          </w:footnotePr>
          <w:type w:val="continuous"/>
          <w:pgSz w:w="11900" w:h="16840"/>
          <w:pgMar w:top="1412" w:right="1095" w:bottom="1412" w:left="1100" w:header="0" w:footer="3" w:gutter="0"/>
          <w:cols w:space="720"/>
          <w:noEndnote/>
          <w:rtlGutter w:val="0"/>
          <w:docGrid w:linePitch="360"/>
        </w:sectPr>
      </w:pPr>
      <w:r>
        <w:rPr>
          <w:b/>
          <w:bCs/>
          <w:color w:val="000000"/>
          <w:spacing w:val="0"/>
          <w:w w:val="100"/>
          <w:position w:val="0"/>
          <w:sz w:val="22"/>
          <w:szCs w:val="22"/>
        </w:rPr>
        <w:t xml:space="preserve">Fig. </w:t>
      </w:r>
      <w:r>
        <w:rPr>
          <w:b/>
          <w:bCs/>
          <w:color w:val="000000"/>
          <w:spacing w:val="0"/>
          <w:w w:val="100"/>
          <w:position w:val="0"/>
          <w:sz w:val="22"/>
          <w:szCs w:val="22"/>
        </w:rPr>
        <w:t xml:space="preserve">1.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The destruction of abrasive wheels with different strengthening the rotation by centrifugal forces: 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color w:val="000000"/>
          <w:spacing w:val="0"/>
          <w:w w:val="100"/>
          <w:position w:val="0"/>
        </w:rPr>
        <w:t xml:space="preserve"> - strengthening two fiberglass; </w:t>
      </w:r>
      <w:r>
        <w:rPr>
          <w:color w:val="000000"/>
          <w:spacing w:val="0"/>
          <w:w w:val="100"/>
          <w:position w:val="0"/>
        </w:rPr>
        <w:t xml:space="preserve">б </w:t>
      </w:r>
      <w:r>
        <w:rPr>
          <w:color w:val="000000"/>
          <w:spacing w:val="0"/>
          <w:w w:val="100"/>
          <w:position w:val="0"/>
        </w:rPr>
        <w:t xml:space="preserve">- strengthening one fiberglass; </w:t>
      </w:r>
      <w:r>
        <w:rPr>
          <w:i/>
          <w:iCs/>
          <w:color w:val="000000"/>
          <w:spacing w:val="0"/>
          <w:w w:val="100"/>
          <w:position w:val="0"/>
        </w:rPr>
        <w:t>в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- without strengthening; </w:t>
      </w:r>
      <w:r>
        <w:rPr>
          <w:color w:val="000000"/>
          <w:spacing w:val="0"/>
          <w:w w:val="100"/>
          <w:position w:val="0"/>
        </w:rPr>
        <w:t xml:space="preserve">г </w:t>
      </w:r>
      <w:r>
        <w:rPr>
          <w:color w:val="000000"/>
          <w:spacing w:val="0"/>
          <w:w w:val="100"/>
          <w:position w:val="0"/>
        </w:rPr>
        <w:t>- strengthening three fiberglass</w:t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0" distB="0" distL="76200" distR="76200" simplePos="0" relativeHeight="125829378" behindDoc="0" locked="0" layoutInCell="1" allowOverlap="1">
                <wp:simplePos x="0" y="0"/>
                <wp:positionH relativeFrom="page">
                  <wp:posOffset>5975350</wp:posOffset>
                </wp:positionH>
                <wp:positionV relativeFrom="paragraph">
                  <wp:posOffset>1908175</wp:posOffset>
                </wp:positionV>
                <wp:extent cx="877570" cy="301625"/>
                <wp:wrapSquare wrapText="left"/>
                <wp:docPr id="15" name="Shape 1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877570" cy="30162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7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2"/>
                                <w:szCs w:val="22"/>
                                <w:vertAlign w:val="superscript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  <w:vertAlign w:val="superscript"/>
                              </w:rPr>
                              <w:t>r</w:t>
                            </w:r>
                            <w:r>
                              <w:rPr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2"/>
                                <w:szCs w:val="22"/>
                              </w:rPr>
                              <w:t xml:space="preserve"> 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2"/>
                                <w:szCs w:val="22"/>
                              </w:rPr>
                              <w:t xml:space="preserve"> =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 xml:space="preserve">1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2"/>
                                <w:szCs w:val="22"/>
                              </w:rPr>
                              <w:t xml:space="preserve">=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  <w:vertAlign w:val="superscript"/>
                              </w:rPr>
                              <w:t>,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1" type="#_x0000_t202" style="position:absolute;margin-left:470.5pt;margin-top:150.25pt;width:69.100000000000009pt;height:23.75pt;z-index:-125829375;mso-wrap-distance-left:6.pt;mso-wrap-distance-right:6.pt;mso-position-horizontal-relative:page" filled="f" stroked="f">
                <v:textbox inset="0,0,0,0">
                  <w:txbxContent>
                    <w:p>
                      <w:pPr>
                        <w:pStyle w:val="Style7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2"/>
                          <w:szCs w:val="22"/>
                          <w:vertAlign w:val="superscript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  <w:vertAlign w:val="superscript"/>
                        </w:rPr>
                        <w:t>r</w:t>
                      </w:r>
                      <w:r>
                        <w:rPr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2"/>
                          <w:szCs w:val="22"/>
                        </w:rPr>
                        <w:t xml:space="preserve"> l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>r</w:t>
                      </w:r>
                      <w:r>
                        <w:rPr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2"/>
                          <w:szCs w:val="22"/>
                        </w:rPr>
                        <w:t xml:space="preserve"> =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>r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 xml:space="preserve">1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2"/>
                          <w:szCs w:val="22"/>
                        </w:rPr>
                        <w:t xml:space="preserve">=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>0</w:t>
                      </w:r>
                      <w:r>
                        <w:rPr>
                          <w:rFonts w:ascii="Times New Roman" w:eastAsia="Times New Roman" w:hAnsi="Times New Roman" w:cs="Times New Roman"/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  <w:vertAlign w:val="superscript"/>
                        </w:rPr>
                        <w:t>,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125829380" behindDoc="0" locked="0" layoutInCell="1" allowOverlap="1">
                <wp:simplePos x="0" y="0"/>
                <wp:positionH relativeFrom="page">
                  <wp:posOffset>5530215</wp:posOffset>
                </wp:positionH>
                <wp:positionV relativeFrom="paragraph">
                  <wp:posOffset>2221865</wp:posOffset>
                </wp:positionV>
                <wp:extent cx="1325880" cy="194945"/>
                <wp:wrapSquare wrapText="left"/>
                <wp:docPr id="17" name="Shape 1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325880" cy="19494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4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4"/>
                                <w:szCs w:val="24"/>
                              </w:rPr>
                              <w:t>кутова швидкість;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3" type="#_x0000_t202" style="position:absolute;margin-left:435.44999999999999pt;margin-top:174.95000000000002pt;width:104.40000000000001pt;height:15.35pt;z-index:-125829373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4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4"/>
                          <w:szCs w:val="24"/>
                        </w:rPr>
                        <w:t>кутова швидкість;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армувальних елементів, зв'язок між абрази</w:t>
        <w:softHyphen/>
        <w:t>вною масою і зміцнювальними елементами на межі їх розділу. Деяке зниження міцнос</w:t>
        <w:softHyphen/>
        <w:t>ті спостерігається, коли вміст армувальних елементів більше за 10%. Це обумовлено впливом на напружений стан локальних ефектів у поверхні контакту абразивна маса - волокно, що пов'язано зі зменшенням то</w:t>
        <w:softHyphen/>
        <w:t>вщини шару абразивної маси у порівнянні з товщиною волокна.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Як видно з рис. 1, найбільшу кількість осколків при руйнуванні мають круги без зміцнювальних елементів. При зміцненні одним диском склосітки руйнування при обертанні відбувалося по чотирьох вузло</w:t>
        <w:softHyphen/>
        <w:t>вих радіусах. Руйнування абразивних кру</w:t>
        <w:softHyphen/>
        <w:t xml:space="preserve">гів армованих двома чи трьома склосітками відбувається по трьох вузлових радіусах, причому таке руйнування характерне для будь-яких розмірів абразивних кругів </w:t>
      </w:r>
      <w:r>
        <w:rPr>
          <w:color w:val="000000"/>
          <w:spacing w:val="0"/>
          <w:w w:val="100"/>
          <w:position w:val="0"/>
          <w:sz w:val="24"/>
          <w:szCs w:val="24"/>
        </w:rPr>
        <w:t>тако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</w:r>
      <w:r>
        <w:rPr>
          <w:color w:val="000000"/>
          <w:spacing w:val="0"/>
          <w:w w:val="100"/>
          <w:position w:val="0"/>
          <w:sz w:val="24"/>
          <w:szCs w:val="24"/>
        </w:rPr>
        <w:t>го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типу армування.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Наведені дані підтверджують той факт, що практично усі абразивні відрізні круги, що працюють у поєднані з ручними шліфу</w:t>
        <w:softHyphen/>
        <w:t>вальними машинами і армовані двома скло- сітками, мають високу надійність в експлу</w:t>
        <w:softHyphen/>
        <w:t>атації.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Таким чином, міцністні властивості аб</w:t>
        <w:softHyphen/>
        <w:t>разивних кругів визначаються орієнтацією та відсотковим вмістом армувальних еле</w:t>
        <w:softHyphen/>
        <w:t>ментів, властивостями фенольної зв'язки та зерна і пов'язані з їх молекулярною будо</w:t>
        <w:softHyphen/>
        <w:t>вою. Утворені при термообробці міцні мо</w:t>
        <w:softHyphen/>
        <w:t>лекули мають довжину, яка перевищує їх поперечні розміри. При цьому зміцнення структури відбувається в результаті зши</w:t>
        <w:softHyphen/>
        <w:t>вання лінійного полімеру в тривимірну структуру. Значний вплив чинить упаковка та розмір абразивних зерен. Об'єктивною характеристикою міцності круга служить напружено-деформований стан, що ство</w:t>
        <w:softHyphen/>
        <w:t>рюється при випробуванні. Наявність такої інформації та її наступний аналіз складає неодмінну умову раціонального викорис</w:t>
        <w:softHyphen/>
        <w:t>тання інструмента.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60" w:line="266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Відрізні армовані абразивні круги є ані</w:t>
        <w:softHyphen/>
        <w:t xml:space="preserve">зотропними тілами, що володіють ортотро- пією механічних властивостей через свої конструктивні особливості. Напруги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о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color w:val="000000"/>
          <w:spacing w:val="0"/>
          <w:w w:val="100"/>
          <w:position w:val="0"/>
          <w:sz w:val="20"/>
          <w:szCs w:val="20"/>
          <w:vertAlign w:val="subscript"/>
        </w:rPr>
        <w:t>e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, що виникають в крузі, характеризують матеріал круга та враховують анізотропію </w:t>
      </w:r>
      <w:r>
        <w:rPr>
          <w:color w:val="000000"/>
          <w:spacing w:val="0"/>
          <w:w w:val="100"/>
          <w:position w:val="0"/>
          <w:sz w:val="24"/>
          <w:szCs w:val="24"/>
        </w:rPr>
        <w:t>механічних властивостей круга при обер</w:t>
        <w:softHyphen/>
        <w:t>танні. Їх можливо визначити за такими за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  <w:t>лежностями:</w:t>
      </w:r>
    </w:p>
    <w:p>
      <w:pPr>
        <w:pStyle w:val="Style64"/>
        <w:keepNext w:val="0"/>
        <w:keepLines w:val="0"/>
        <w:widowControl w:val="0"/>
        <w:shd w:val="clear" w:color="auto" w:fill="auto"/>
        <w:bidi w:val="0"/>
        <w:spacing w:before="0" w:after="0" w:line="192" w:lineRule="auto"/>
        <w:ind w:left="3040" w:right="0" w:hanging="3040"/>
        <w:jc w:val="both"/>
      </w:pPr>
      <w:r>
        <w:rPr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i/>
          <w:iCs/>
          <w:color w:val="000000"/>
          <w:spacing w:val="0"/>
          <w:w w:val="100"/>
          <w:position w:val="0"/>
          <w:sz w:val="22"/>
          <w:szCs w:val="22"/>
          <w:vertAlign w:val="subscript"/>
        </w:rPr>
        <w:t>r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C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(</w:t>
      </w:r>
      <w:r>
        <w:rPr>
          <w:i/>
          <w:iCs/>
          <w:color w:val="000000"/>
          <w:spacing w:val="0"/>
          <w:w w:val="100"/>
          <w:position w:val="0"/>
        </w:rPr>
        <w:t>1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+ </w:t>
      </w:r>
      <w:r>
        <w:rPr>
          <w:i/>
          <w:iCs/>
          <w:color w:val="000000"/>
          <w:spacing w:val="0"/>
          <w:w w:val="100"/>
          <w:position w:val="0"/>
        </w:rPr>
        <w:t>k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)</w:t>
      </w:r>
      <w:r>
        <w:rPr>
          <w:i/>
          <w:iCs/>
          <w:color w:val="000000"/>
          <w:spacing w:val="0"/>
          <w:w w:val="100"/>
          <w:position w:val="0"/>
        </w:rPr>
        <w:t>r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k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14"/>
          <w:szCs w:val="14"/>
          <w:vertAlign w:val="superscript"/>
        </w:rPr>
        <w:t>-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1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+ </w:t>
      </w:r>
      <w:r>
        <w:rPr>
          <w:i/>
          <w:iCs/>
          <w:color w:val="000000"/>
          <w:spacing w:val="0"/>
          <w:w w:val="100"/>
          <w:position w:val="0"/>
        </w:rPr>
        <w:t>D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(</w:t>
      </w:r>
      <w:r>
        <w:rPr>
          <w:i/>
          <w:iCs/>
          <w:color w:val="000000"/>
          <w:spacing w:val="0"/>
          <w:w w:val="100"/>
          <w:position w:val="0"/>
        </w:rPr>
        <w:t xml:space="preserve">1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19"/>
          <w:szCs w:val="19"/>
        </w:rPr>
        <w:t>-</w:t>
      </w:r>
      <w:r>
        <w:rPr>
          <w:i/>
          <w:iCs/>
          <w:color w:val="000000"/>
          <w:spacing w:val="0"/>
          <w:w w:val="100"/>
          <w:position w:val="0"/>
        </w:rPr>
        <w:t>k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)r“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k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14"/>
          <w:szCs w:val="14"/>
          <w:vertAlign w:val="superscript"/>
        </w:rPr>
        <w:t>-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1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-^- </w:t>
      </w:r>
      <w:r>
        <w:rPr>
          <w:i/>
          <w:iCs/>
          <w:color w:val="000000"/>
          <w:spacing w:val="0"/>
          <w:w w:val="100"/>
          <w:position w:val="0"/>
        </w:rPr>
        <w:t>-3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19"/>
          <w:szCs w:val="19"/>
        </w:rPr>
        <w:t xml:space="preserve">+V </w:t>
      </w:r>
      <w:r>
        <w:rPr>
          <w:i/>
          <w:iCs/>
          <w:color w:val="000000"/>
          <w:spacing w:val="0"/>
          <w:w w:val="100"/>
          <w:position w:val="0"/>
        </w:rPr>
        <w:t>r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, (3) </w:t>
      </w:r>
      <w:r>
        <w:rPr>
          <w:i/>
          <w:iCs/>
          <w:color w:val="000000"/>
          <w:spacing w:val="0"/>
          <w:w w:val="100"/>
          <w:position w:val="0"/>
        </w:rPr>
        <w:t xml:space="preserve">g g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19"/>
          <w:szCs w:val="19"/>
        </w:rPr>
        <w:t xml:space="preserve">- </w:t>
      </w:r>
      <w:r>
        <w:rPr>
          <w:i/>
          <w:iCs/>
          <w:color w:val="000000"/>
          <w:spacing w:val="0"/>
          <w:w w:val="100"/>
          <w:position w:val="0"/>
        </w:rPr>
        <w:t>k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60"/>
        <w:ind w:left="0" w:right="0" w:firstLine="460"/>
        <w:jc w:val="left"/>
        <w:rPr>
          <w:sz w:val="22"/>
          <w:szCs w:val="22"/>
        </w:rPr>
      </w:pP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20"/>
          <w:szCs w:val="20"/>
          <w:vertAlign w:val="subscript"/>
        </w:rPr>
        <w:t>e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20"/>
          <w:szCs w:val="20"/>
        </w:rPr>
        <w:t xml:space="preserve"> 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=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34"/>
          <w:szCs w:val="34"/>
        </w:rPr>
        <w:t>(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1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 +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34"/>
          <w:szCs w:val="34"/>
        </w:rPr>
        <w:t>)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•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k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 •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  <w:vertAlign w:val="superscript"/>
        </w:rPr>
        <w:t>k</w:t>
      </w:r>
      <w:r>
        <w:rPr>
          <w:color w:val="000000"/>
          <w:spacing w:val="0"/>
          <w:w w:val="100"/>
          <w:position w:val="0"/>
          <w:sz w:val="17"/>
          <w:szCs w:val="17"/>
          <w:vertAlign w:val="superscript"/>
        </w:rPr>
        <w:t>-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  <w:vertAlign w:val="superscript"/>
        </w:rPr>
        <w:t>1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color w:val="000000"/>
          <w:spacing w:val="0"/>
          <w:w w:val="100"/>
          <w:position w:val="0"/>
          <w:sz w:val="22"/>
          <w:szCs w:val="22"/>
        </w:rPr>
        <w:t>-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D</w:t>
      </w:r>
      <w:r>
        <w:rPr>
          <w:color w:val="000000"/>
          <w:spacing w:val="0"/>
          <w:w w:val="100"/>
          <w:position w:val="0"/>
          <w:sz w:val="30"/>
          <w:szCs w:val="30"/>
        </w:rPr>
        <w:t>(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 xml:space="preserve">1 </w:t>
      </w:r>
      <w:r>
        <w:rPr>
          <w:color w:val="000000"/>
          <w:spacing w:val="0"/>
          <w:w w:val="100"/>
          <w:position w:val="0"/>
          <w:sz w:val="22"/>
          <w:szCs w:val="22"/>
        </w:rPr>
        <w:t>-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34"/>
          <w:szCs w:val="34"/>
        </w:rPr>
        <w:t>)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>x</w:t>
      </w:r>
    </w:p>
    <w:p>
      <w:pPr>
        <w:pStyle w:val="Style81"/>
        <w:keepNext w:val="0"/>
        <w:keepLines w:val="0"/>
        <w:widowControl w:val="0"/>
        <w:shd w:val="clear" w:color="auto" w:fill="auto"/>
        <w:tabs>
          <w:tab w:pos="3799" w:val="left"/>
          <w:tab w:pos="4279" w:val="left"/>
        </w:tabs>
        <w:bidi w:val="0"/>
        <w:spacing w:before="0" w:after="0" w:line="240" w:lineRule="auto"/>
        <w:ind w:left="0" w:right="0"/>
        <w:jc w:val="both"/>
        <w:rPr>
          <w:sz w:val="24"/>
          <w:szCs w:val="24"/>
        </w:rPr>
      </w:pPr>
      <w:r>
        <w:rPr>
          <w:color w:val="000000"/>
          <w:spacing w:val="0"/>
          <w:w w:val="100"/>
          <w:position w:val="0"/>
          <w:sz w:val="18"/>
          <w:szCs w:val="18"/>
        </w:rPr>
        <w:t xml:space="preserve">, </w:t>
      </w:r>
      <w:r>
        <w:rPr>
          <w:color w:val="000000"/>
          <w:spacing w:val="0"/>
          <w:w w:val="100"/>
          <w:position w:val="0"/>
          <w:sz w:val="18"/>
          <w:szCs w:val="18"/>
          <w:vertAlign w:val="subscript"/>
        </w:rPr>
        <w:t>-k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17"/>
          <w:szCs w:val="17"/>
          <w:vertAlign w:val="subscript"/>
        </w:rPr>
        <w:t>-</w:t>
      </w:r>
      <w:r>
        <w:rPr>
          <w:color w:val="000000"/>
          <w:spacing w:val="0"/>
          <w:w w:val="100"/>
          <w:position w:val="0"/>
          <w:sz w:val="18"/>
          <w:szCs w:val="18"/>
          <w:vertAlign w:val="subscript"/>
        </w:rPr>
        <w:t>1</w:t>
      </w:r>
      <w:r>
        <w:rPr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yw</w:t>
      </w:r>
      <w:r>
        <w:rPr>
          <w:color w:val="000000"/>
          <w:spacing w:val="0"/>
          <w:w w:val="100"/>
          <w:position w:val="0"/>
          <w:sz w:val="18"/>
          <w:szCs w:val="18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>k</w:t>
      </w:r>
      <w:r>
        <w:rPr>
          <w:color w:val="000000"/>
          <w:spacing w:val="0"/>
          <w:w w:val="100"/>
          <w:position w:val="0"/>
          <w:sz w:val="18"/>
          <w:szCs w:val="18"/>
          <w:vertAlign w:val="superscript"/>
        </w:rPr>
        <w:t>2</w:t>
      </w:r>
      <w:r>
        <w:rPr>
          <w:rFonts w:ascii="Arial" w:eastAsia="Arial" w:hAnsi="Arial" w:cs="Arial"/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 + </w:t>
      </w:r>
      <w:r>
        <w:rPr>
          <w:color w:val="000000"/>
          <w:spacing w:val="0"/>
          <w:w w:val="100"/>
          <w:position w:val="0"/>
          <w:sz w:val="24"/>
          <w:szCs w:val="24"/>
        </w:rPr>
        <w:t>3</w:t>
      </w:r>
      <w:r>
        <w:rPr>
          <w:rFonts w:ascii="Arial" w:eastAsia="Arial" w:hAnsi="Arial" w:cs="Arial"/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v </w:t>
      </w:r>
      <w:r>
        <w:rPr>
          <w:color w:val="000000"/>
          <w:spacing w:val="0"/>
          <w:w w:val="100"/>
          <w:position w:val="0"/>
          <w:sz w:val="18"/>
          <w:szCs w:val="18"/>
          <w:vertAlign w:val="subscript"/>
        </w:rPr>
        <w:t>2</w:t>
      </w:r>
      <w:r>
        <w:rPr>
          <w:i w:val="0"/>
          <w:iCs w:val="0"/>
          <w:color w:val="000000"/>
          <w:spacing w:val="0"/>
          <w:w w:val="100"/>
          <w:position w:val="0"/>
          <w:sz w:val="24"/>
          <w:szCs w:val="24"/>
        </w:rPr>
        <w:tab/>
        <w:t>,</w:t>
        <w:tab/>
      </w:r>
      <w:r>
        <w:rPr>
          <w:i w:val="0"/>
          <w:iCs w:val="0"/>
          <w:color w:val="000000"/>
          <w:spacing w:val="0"/>
          <w:w w:val="100"/>
          <w:position w:val="0"/>
          <w:sz w:val="24"/>
          <w:szCs w:val="24"/>
          <w:vertAlign w:val="superscript"/>
        </w:rPr>
        <w:t>(4)</w:t>
      </w:r>
    </w:p>
    <w:p>
      <w:pPr>
        <w:pStyle w:val="Style14"/>
        <w:keepNext w:val="0"/>
        <w:keepLines w:val="0"/>
        <w:widowControl w:val="0"/>
        <w:shd w:val="clear" w:color="auto" w:fill="auto"/>
        <w:tabs>
          <w:tab w:leader="hyphen" w:pos="1673" w:val="left"/>
        </w:tabs>
        <w:bidi w:val="0"/>
        <w:spacing w:before="0" w:after="0" w:line="180" w:lineRule="auto"/>
        <w:ind w:left="0" w:right="0" w:firstLine="460"/>
        <w:jc w:val="both"/>
        <w:rPr>
          <w:sz w:val="18"/>
          <w:szCs w:val="18"/>
        </w:rPr>
      </w:pP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x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 xml:space="preserve">k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 xml:space="preserve">•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 xml:space="preserve">r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perscript"/>
        </w:rPr>
        <w:t xml:space="preserve">k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  <w:vertAlign w:val="superscript"/>
        </w:rPr>
        <w:t>1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 xml:space="preserve"> </w:t>
        <w:tab/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perscript"/>
        </w:rPr>
        <w:t>2</w:t>
      </w:r>
    </w:p>
    <w:p>
      <w:pPr>
        <w:pStyle w:val="Style88"/>
        <w:keepNext/>
        <w:keepLines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bookmarkStart w:id="3" w:name="bookmark3"/>
      <w:bookmarkStart w:id="4" w:name="bookmark4"/>
      <w:bookmarkStart w:id="5" w:name="bookmark5"/>
      <w:r>
        <w:rPr>
          <w:color w:val="000000"/>
          <w:spacing w:val="0"/>
          <w:w w:val="100"/>
          <w:position w:val="0"/>
          <w:vertAlign w:val="superscript"/>
        </w:rPr>
        <w:t xml:space="preserve">g g </w:t>
      </w:r>
      <w:r>
        <w:rPr>
          <w:color w:val="000000"/>
          <w:spacing w:val="0"/>
          <w:w w:val="100"/>
          <w:position w:val="0"/>
          <w:sz w:val="26"/>
          <w:szCs w:val="26"/>
          <w:vertAlign w:val="superscript"/>
        </w:rPr>
        <w:t xml:space="preserve">- </w:t>
      </w:r>
      <w:r>
        <w:rPr>
          <w:color w:val="000000"/>
          <w:spacing w:val="0"/>
          <w:w w:val="100"/>
          <w:position w:val="0"/>
          <w:vertAlign w:val="superscript"/>
        </w:rPr>
        <w:t>k</w:t>
      </w:r>
      <w:bookmarkEnd w:id="3"/>
      <w:bookmarkEnd w:id="4"/>
      <w:bookmarkEnd w:id="5"/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20" w:line="16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C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,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D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- </w:t>
      </w:r>
      <w:r>
        <w:rPr>
          <w:color w:val="000000"/>
          <w:spacing w:val="0"/>
          <w:w w:val="100"/>
          <w:position w:val="0"/>
          <w:sz w:val="24"/>
          <w:szCs w:val="24"/>
        </w:rPr>
        <w:t>постійні інтегрування, що зна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  <w:t>ходяться з граничних умов</w:t>
      </w:r>
    </w:p>
    <w:p>
      <w:pPr>
        <w:pStyle w:val="Style7"/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0" w:right="0" w:firstLine="0"/>
        <w:jc w:val="left"/>
        <w:rPr>
          <w:sz w:val="22"/>
          <w:szCs w:val="22"/>
        </w:rPr>
      </w:pP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</w:rPr>
        <w:t xml:space="preserve">°e|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 xml:space="preserve">r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=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  <w:vertAlign w:val="subscript"/>
        </w:rPr>
        <w:t>2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= </w:t>
      </w:r>
      <w:r>
        <w:rPr>
          <w:rFonts w:ascii="Times New Roman" w:eastAsia="Times New Roman" w:hAnsi="Times New Roman" w:cs="Times New Roman"/>
          <w:color w:val="000000"/>
          <w:spacing w:val="0"/>
          <w:w w:val="100"/>
          <w:position w:val="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i w:val="0"/>
          <w:iCs w:val="0"/>
          <w:color w:val="000000"/>
          <w:spacing w:val="0"/>
          <w:w w:val="100"/>
          <w:position w:val="0"/>
          <w:sz w:val="24"/>
          <w:szCs w:val="24"/>
          <w:vertAlign w:val="superscript"/>
        </w:rPr>
        <w:t xml:space="preserve">; </w:t>
      </w:r>
      <w:r>
        <w:rPr>
          <w:i w:val="0"/>
          <w:iCs w:val="0"/>
          <w:color w:val="000000"/>
          <w:spacing w:val="0"/>
          <w:w w:val="100"/>
          <w:position w:val="0"/>
          <w:sz w:val="22"/>
          <w:szCs w:val="22"/>
          <w:vertAlign w:val="superscript"/>
        </w:rPr>
        <w:t>w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 xml:space="preserve">k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^E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^ ~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коефіцієнт анізотропії;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у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  <w:sz w:val="24"/>
          <w:szCs w:val="24"/>
        </w:rPr>
        <w:t>пи</w:t>
        <w:softHyphen/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тома сила ваги матеріалу круга;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E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17"/>
          <w:szCs w:val="17"/>
          <w:vertAlign w:val="subscript"/>
        </w:rPr>
        <w:t>e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E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</w:t>
      </w:r>
      <w:r>
        <w:rPr>
          <w:color w:val="000000"/>
          <w:spacing w:val="0"/>
          <w:w w:val="100"/>
          <w:position w:val="0"/>
          <w:sz w:val="24"/>
          <w:szCs w:val="24"/>
        </w:rPr>
        <w:t>модулі пружності для двох головних на</w:t>
        <w:softHyphen/>
        <w:t xml:space="preserve">прямів (радіального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тангенціального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Є </w:t>
      </w:r>
      <w:r>
        <w:rPr>
          <w:color w:val="000000"/>
          <w:spacing w:val="0"/>
          <w:w w:val="100"/>
          <w:position w:val="0"/>
          <w:sz w:val="28"/>
          <w:szCs w:val="28"/>
        </w:rPr>
        <w:t>)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;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v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- коефіцієнт </w:t>
      </w:r>
      <w:r>
        <w:rPr>
          <w:color w:val="000000"/>
          <w:spacing w:val="0"/>
          <w:w w:val="100"/>
          <w:position w:val="0"/>
          <w:sz w:val="24"/>
          <w:szCs w:val="24"/>
        </w:rPr>
        <w:t>Пуассона.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71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 xml:space="preserve">Напруга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перетворюється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на нуль при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р = </w:t>
      </w:r>
      <w:r>
        <w:rPr>
          <w:color w:val="000000"/>
          <w:spacing w:val="0"/>
          <w:w w:val="100"/>
          <w:position w:val="0"/>
          <w:sz w:val="34"/>
          <w:szCs w:val="34"/>
        </w:rPr>
        <w:t>(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v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1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/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1</w:t>
      </w:r>
      <w:r>
        <w:rPr>
          <w:color w:val="000000"/>
          <w:spacing w:val="0"/>
          <w:w w:val="100"/>
          <w:position w:val="0"/>
          <w:sz w:val="34"/>
          <w:szCs w:val="34"/>
        </w:rPr>
        <w:t xml:space="preserve">)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1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p = </w:t>
      </w:r>
      <w:r>
        <w:rPr>
          <w:color w:val="000000"/>
          <w:spacing w:val="0"/>
          <w:w w:val="100"/>
          <w:position w:val="0"/>
          <w:sz w:val="34"/>
          <w:szCs w:val="34"/>
        </w:rPr>
        <w:t>(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v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2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/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2</w:t>
      </w:r>
      <w:r>
        <w:rPr>
          <w:color w:val="000000"/>
          <w:spacing w:val="0"/>
          <w:w w:val="100"/>
          <w:position w:val="0"/>
          <w:sz w:val="34"/>
          <w:szCs w:val="34"/>
        </w:rPr>
        <w:t xml:space="preserve">)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= a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,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тобто на внутрішньому і зовнішньому контурі диска. Напруга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о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 xml:space="preserve">&gt;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0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>і досягає найбільшої вели</w:t>
        <w:softHyphen/>
        <w:t xml:space="preserve">чини при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р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= л[а = 4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  <w:vertAlign w:val="superscript"/>
        </w:rPr>
        <w:t>Г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2І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  <w:vertAlign w:val="superscript"/>
        </w:rPr>
        <w:t>Г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1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. Напруга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e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&gt;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 xml:space="preserve">0 </w:t>
      </w:r>
      <w:r>
        <w:rPr>
          <w:color w:val="000000"/>
          <w:spacing w:val="0"/>
          <w:w w:val="100"/>
          <w:position w:val="0"/>
          <w:sz w:val="24"/>
          <w:szCs w:val="24"/>
        </w:rPr>
        <w:t>найбільшої величини досягає у внутріш</w:t>
        <w:softHyphen/>
        <w:t xml:space="preserve">нього краю диска при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р =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a</w:t>
      </w:r>
      <w:r>
        <w:rPr>
          <w:color w:val="000000"/>
          <w:spacing w:val="0"/>
          <w:w w:val="100"/>
          <w:position w:val="0"/>
          <w:sz w:val="24"/>
          <w:szCs w:val="24"/>
        </w:rPr>
        <w:t>. Із порівняння ц</w:t>
      </w:r>
      <w:r>
        <w:rPr>
          <w:color w:val="000000"/>
          <w:spacing w:val="0"/>
          <w:w w:val="100"/>
          <w:position w:val="0"/>
          <w:sz w:val="24"/>
          <w:szCs w:val="24"/>
          <w:vertAlign w:val="superscript"/>
        </w:rPr>
        <w:t>их нап</w:t>
      </w:r>
      <w:r>
        <w:rPr>
          <w:color w:val="000000"/>
          <w:spacing w:val="0"/>
          <w:w w:val="100"/>
          <w:position w:val="0"/>
          <w:sz w:val="24"/>
          <w:szCs w:val="24"/>
        </w:rPr>
        <w:t>ру</w:t>
      </w:r>
      <w:r>
        <w:rPr>
          <w:color w:val="000000"/>
          <w:spacing w:val="0"/>
          <w:w w:val="100"/>
          <w:position w:val="0"/>
          <w:sz w:val="24"/>
          <w:szCs w:val="24"/>
          <w:vertAlign w:val="superscript"/>
        </w:rPr>
        <w:t xml:space="preserve">г </w:t>
      </w:r>
      <w:r>
        <w:rPr>
          <w:smallCaps/>
          <w:color w:val="000000"/>
          <w:spacing w:val="0"/>
          <w:w w:val="100"/>
          <w:position w:val="0"/>
          <w:sz w:val="34"/>
          <w:szCs w:val="34"/>
          <w:vertAlign w:val="superscript"/>
        </w:rPr>
        <w:t>от</w:t>
      </w:r>
      <w:r>
        <w:rPr>
          <w:smallCaps/>
          <w:color w:val="000000"/>
          <w:spacing w:val="0"/>
          <w:w w:val="100"/>
          <w:position w:val="0"/>
          <w:sz w:val="30"/>
          <w:szCs w:val="30"/>
        </w:rPr>
        <w:t>р</w:t>
      </w:r>
      <w:r>
        <w:rPr>
          <w:smallCaps/>
          <w:color w:val="000000"/>
          <w:spacing w:val="0"/>
          <w:w w:val="100"/>
          <w:position w:val="0"/>
          <w:sz w:val="34"/>
          <w:szCs w:val="34"/>
          <w:vertAlign w:val="superscript"/>
        </w:rPr>
        <w:t>им</w:t>
      </w:r>
      <w:r>
        <w:rPr>
          <w:smallCaps/>
          <w:color w:val="000000"/>
          <w:spacing w:val="0"/>
          <w:w w:val="100"/>
          <w:position w:val="0"/>
          <w:sz w:val="30"/>
          <w:szCs w:val="30"/>
        </w:rPr>
        <w:t>у</w:t>
      </w:r>
      <w:r>
        <w:rPr>
          <w:smallCaps/>
          <w:color w:val="000000"/>
          <w:spacing w:val="0"/>
          <w:w w:val="100"/>
          <w:position w:val="0"/>
          <w:sz w:val="34"/>
          <w:szCs w:val="34"/>
          <w:vertAlign w:val="superscript"/>
        </w:rPr>
        <w:t>ємо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  <w:vertAlign w:val="superscript"/>
        </w:rPr>
        <w:t xml:space="preserve">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  <w:vertAlign w:val="superscript"/>
        </w:rPr>
        <w:t>(o</w:t>
      </w:r>
      <w:r>
        <w:rPr>
          <w:color w:val="000000"/>
          <w:spacing w:val="0"/>
          <w:w w:val="100"/>
          <w:position w:val="0"/>
          <w:sz w:val="20"/>
          <w:szCs w:val="20"/>
        </w:rPr>
        <w:t>e</w:t>
      </w:r>
      <w:r>
        <w:rPr>
          <w:color w:val="000000"/>
          <w:spacing w:val="0"/>
          <w:w w:val="100"/>
          <w:position w:val="0"/>
          <w:sz w:val="34"/>
          <w:szCs w:val="34"/>
        </w:rPr>
        <w:t>)</w:t>
      </w:r>
      <w:r>
        <w:rPr>
          <w:color w:val="000000"/>
          <w:spacing w:val="0"/>
          <w:w w:val="100"/>
          <w:position w:val="0"/>
          <w:sz w:val="18"/>
          <w:szCs w:val="18"/>
        </w:rPr>
        <w:t xml:space="preserve">max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&gt;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  <w:vertAlign w:val="superscript"/>
        </w:rPr>
        <w:t>(о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r</w:t>
      </w:r>
      <w:r>
        <w:rPr>
          <w:color w:val="000000"/>
          <w:spacing w:val="0"/>
          <w:w w:val="100"/>
          <w:position w:val="0"/>
          <w:sz w:val="18"/>
          <w:szCs w:val="18"/>
        </w:rPr>
        <w:t xml:space="preserve"> Lax </w:t>
      </w:r>
      <w:r>
        <w:rPr>
          <w:color w:val="000000"/>
          <w:spacing w:val="0"/>
          <w:w w:val="100"/>
          <w:position w:val="0"/>
          <w:sz w:val="24"/>
          <w:szCs w:val="24"/>
        </w:rPr>
        <w:t>. Тому при перевірці міцності круга як по теорії найбільшої дотичної напруги, так і по енергетичній теорії умова міцності має вигляд</w:t>
      </w:r>
    </w:p>
    <w:p>
      <w:pPr>
        <w:pStyle w:val="Style14"/>
        <w:keepNext w:val="0"/>
        <w:keepLines w:val="0"/>
        <w:widowControl w:val="0"/>
        <w:shd w:val="clear" w:color="auto" w:fill="auto"/>
        <w:tabs>
          <w:tab w:pos="2616" w:val="left"/>
        </w:tabs>
        <w:bidi w:val="0"/>
        <w:spacing w:before="0" w:after="0" w:line="240" w:lineRule="auto"/>
        <w:ind w:left="0" w:right="0" w:firstLine="0"/>
        <w:jc w:val="right"/>
      </w:pP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  <w:vertAlign w:val="superscript"/>
        </w:rPr>
        <w:t>(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°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eLx </w:t>
      </w:r>
      <w:r>
        <w:rPr>
          <w:color w:val="000000"/>
          <w:spacing w:val="0"/>
          <w:w w:val="100"/>
          <w:position w:val="0"/>
          <w:sz w:val="20"/>
          <w:szCs w:val="20"/>
        </w:rPr>
        <w:t>&lt;Ы</w:t>
      </w:r>
      <w:r>
        <w:rPr>
          <w:color w:val="000000"/>
          <w:spacing w:val="0"/>
          <w:w w:val="100"/>
          <w:position w:val="0"/>
          <w:sz w:val="24"/>
          <w:szCs w:val="24"/>
        </w:rPr>
        <w:t>.</w:t>
        <w:tab/>
      </w:r>
      <w:r>
        <w:rPr>
          <w:color w:val="000000"/>
          <w:spacing w:val="0"/>
          <w:w w:val="100"/>
          <w:position w:val="0"/>
          <w:sz w:val="24"/>
          <w:szCs w:val="24"/>
          <w:vertAlign w:val="superscript"/>
        </w:rPr>
        <w:t>(5)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71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Із наведених залежностей видно, що на</w:t>
        <w:softHyphen/>
        <w:t xml:space="preserve">пруги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e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о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зростають зі збільшенням колової швидкості круга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V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0"/>
          <w:w w:val="100"/>
          <w:position w:val="0"/>
          <w:sz w:val="22"/>
          <w:szCs w:val="22"/>
        </w:rPr>
        <w:t>=w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. Окрім швидкості </w:t>
      </w:r>
      <w:r>
        <w:rPr>
          <w:i/>
          <w:iCs/>
          <w:color w:val="000000"/>
          <w:spacing w:val="0"/>
          <w:w w:val="100"/>
          <w:position w:val="0"/>
          <w:sz w:val="24"/>
          <w:szCs w:val="24"/>
        </w:rPr>
        <w:t>V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та характеристик матеріалу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Y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и </w:t>
      </w:r>
      <w:r>
        <w:rPr>
          <w:color w:val="000000"/>
          <w:spacing w:val="0"/>
          <w:w w:val="100"/>
          <w:position w:val="0"/>
          <w:sz w:val="24"/>
          <w:szCs w:val="24"/>
        </w:rPr>
        <w:t>ця напруга залежить тільки від безроз</w:t>
        <w:softHyphen/>
        <w:t xml:space="preserve">мірних величин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р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a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. Таким чином, в геометрично подібних кругах при одних і тих же значеннях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 xml:space="preserve">р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напруги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O</w:t>
      </w:r>
      <w:r>
        <w:rPr>
          <w:color w:val="000000"/>
          <w:spacing w:val="0"/>
          <w:w w:val="100"/>
          <w:position w:val="0"/>
          <w:sz w:val="20"/>
          <w:szCs w:val="20"/>
          <w:vertAlign w:val="subscript"/>
        </w:rPr>
        <w:t>e</w:t>
      </w:r>
      <w:r>
        <w:rPr>
          <w:color w:val="000000"/>
          <w:spacing w:val="0"/>
          <w:w w:val="100"/>
          <w:position w:val="0"/>
          <w:sz w:val="20"/>
          <w:szCs w:val="20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і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22"/>
          <w:szCs w:val="22"/>
        </w:rPr>
        <w:t>о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  <w:vertAlign w:val="subscript"/>
        </w:rPr>
        <w:t>r</w:t>
      </w:r>
      <w:r>
        <w:rPr>
          <w:color w:val="000000"/>
          <w:spacing w:val="0"/>
          <w:w w:val="100"/>
          <w:position w:val="0"/>
          <w:sz w:val="24"/>
          <w:szCs w:val="24"/>
        </w:rPr>
        <w:t xml:space="preserve"> </w:t>
      </w:r>
      <w:r>
        <w:rPr>
          <w:color w:val="000000"/>
          <w:spacing w:val="0"/>
          <w:w w:val="100"/>
          <w:position w:val="0"/>
          <w:sz w:val="24"/>
          <w:szCs w:val="24"/>
        </w:rPr>
        <w:t>бу</w:t>
        <w:softHyphen/>
        <w:t>дуть однакові. Це дозволяє замінити випро</w:t>
        <w:softHyphen/>
        <w:t>бування дисків іншого діаметра лаборатор</w:t>
        <w:softHyphen/>
        <w:t>ними випробуваннями їх моделей.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При експлуатації абразивних кругів у ряді випадків спостерігається їх руйнуван</w:t>
        <w:softHyphen/>
        <w:t xml:space="preserve">ня, викликане причинами, залежними від </w:t>
      </w:r>
      <w:r>
        <w:rPr>
          <w:color w:val="000000"/>
          <w:spacing w:val="0"/>
          <w:w w:val="100"/>
          <w:position w:val="0"/>
          <w:sz w:val="24"/>
          <w:szCs w:val="24"/>
        </w:rPr>
        <w:t>умов різання, дій оператора, характеристик інструмента та особливостей керування привідним пристроєм. Основні види руйну</w:t>
        <w:softHyphen/>
        <w:t>вання кругів при експлуатації з вказівкою можливих причин, що викликають вихід з ладу інструмента, можливо представити наступним переліком.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Злам круга, косий розріз: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56" w:val="left"/>
        </w:tabs>
        <w:bidi w:val="0"/>
        <w:spacing w:before="0" w:after="0" w:line="240" w:lineRule="auto"/>
        <w:ind w:left="0" w:right="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  <w:sz w:val="24"/>
          <w:szCs w:val="24"/>
        </w:rPr>
        <w:t>неправильне закріплення заготівки;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  <w:sz w:val="24"/>
          <w:szCs w:val="24"/>
        </w:rPr>
        <w:t>втрата стійкості круга внаслідок його малої жорсткості;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56" w:val="left"/>
        </w:tabs>
        <w:bidi w:val="0"/>
        <w:spacing w:before="0" w:after="0" w:line="240" w:lineRule="auto"/>
        <w:ind w:left="0" w:right="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  <w:sz w:val="24"/>
          <w:szCs w:val="24"/>
        </w:rPr>
        <w:t>велике зусилля різання;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  <w:sz w:val="24"/>
          <w:szCs w:val="24"/>
        </w:rPr>
        <w:t>діаметр фланця менше діаметра отвору в крузі;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10" w:name="bookmark10"/>
      <w:bookmarkEnd w:id="10"/>
      <w:r>
        <w:rPr>
          <w:color w:val="000000"/>
          <w:spacing w:val="0"/>
          <w:w w:val="100"/>
          <w:position w:val="0"/>
          <w:sz w:val="24"/>
          <w:szCs w:val="24"/>
        </w:rPr>
        <w:t>неправильне керування привідним при</w:t>
        <w:softHyphen/>
        <w:t>строєм.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Різальна поверхня круга пошматована (локальне руйнування периферії круга):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11" w:name="bookmark11"/>
      <w:bookmarkEnd w:id="11"/>
      <w:r>
        <w:rPr>
          <w:color w:val="000000"/>
          <w:spacing w:val="0"/>
          <w:w w:val="100"/>
          <w:position w:val="0"/>
          <w:sz w:val="24"/>
          <w:szCs w:val="24"/>
        </w:rPr>
        <w:t>використання круга для чорнової обро</w:t>
        <w:softHyphen/>
        <w:t>бки;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12" w:name="bookmark12"/>
      <w:bookmarkEnd w:id="12"/>
      <w:r>
        <w:rPr>
          <w:color w:val="000000"/>
          <w:spacing w:val="0"/>
          <w:w w:val="100"/>
          <w:position w:val="0"/>
          <w:sz w:val="24"/>
          <w:szCs w:val="24"/>
        </w:rPr>
        <w:t>неправильне закріплення заготівки, внаслідок чого вона пружинить;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13" w:name="bookmark13"/>
      <w:bookmarkEnd w:id="13"/>
      <w:r>
        <w:rPr>
          <w:color w:val="000000"/>
          <w:spacing w:val="0"/>
          <w:w w:val="100"/>
          <w:position w:val="0"/>
          <w:sz w:val="24"/>
          <w:szCs w:val="24"/>
        </w:rPr>
        <w:t>неправильне керування привідним при</w:t>
        <w:softHyphen/>
        <w:t>строєм.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Виривання центрального отвору в крузі: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56" w:val="left"/>
        </w:tabs>
        <w:bidi w:val="0"/>
        <w:spacing w:before="0" w:after="0" w:line="240" w:lineRule="auto"/>
        <w:ind w:left="0" w:right="0"/>
        <w:jc w:val="both"/>
      </w:pPr>
      <w:bookmarkStart w:id="14" w:name="bookmark14"/>
      <w:bookmarkEnd w:id="14"/>
      <w:r>
        <w:rPr>
          <w:color w:val="000000"/>
          <w:spacing w:val="0"/>
          <w:w w:val="100"/>
          <w:position w:val="0"/>
          <w:sz w:val="24"/>
          <w:szCs w:val="24"/>
        </w:rPr>
        <w:t>неправильне закріплення;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15" w:name="bookmark15"/>
      <w:bookmarkEnd w:id="15"/>
      <w:r>
        <w:rPr>
          <w:color w:val="000000"/>
          <w:spacing w:val="0"/>
          <w:w w:val="100"/>
          <w:position w:val="0"/>
          <w:sz w:val="24"/>
          <w:szCs w:val="24"/>
        </w:rPr>
        <w:t>використання круга для чорнового шліфування;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56" w:val="left"/>
        </w:tabs>
        <w:bidi w:val="0"/>
        <w:spacing w:before="0" w:after="0" w:line="240" w:lineRule="auto"/>
        <w:ind w:left="0" w:right="0"/>
        <w:jc w:val="both"/>
      </w:pPr>
      <w:bookmarkStart w:id="16" w:name="bookmark16"/>
      <w:bookmarkEnd w:id="16"/>
      <w:r>
        <w:rPr>
          <w:color w:val="000000"/>
          <w:spacing w:val="0"/>
          <w:w w:val="100"/>
          <w:position w:val="0"/>
          <w:sz w:val="24"/>
          <w:szCs w:val="24"/>
        </w:rPr>
        <w:t>дефекти у фланцях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0" w:line="240" w:lineRule="auto"/>
        <w:ind w:left="0" w:right="0"/>
        <w:jc w:val="both"/>
      </w:pPr>
      <w:bookmarkStart w:id="17" w:name="bookmark17"/>
      <w:bookmarkEnd w:id="17"/>
      <w:r>
        <w:rPr>
          <w:color w:val="000000"/>
          <w:spacing w:val="0"/>
          <w:w w:val="100"/>
          <w:position w:val="0"/>
          <w:sz w:val="24"/>
          <w:szCs w:val="24"/>
        </w:rPr>
        <w:t>відрізним кругом робиться торцеве шліфування під кутом.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Виривання абразивних зерен по перифе</w:t>
        <w:softHyphen/>
        <w:t>рії різальної кромки: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56" w:val="left"/>
        </w:tabs>
        <w:bidi w:val="0"/>
        <w:spacing w:before="0" w:after="40" w:line="240" w:lineRule="auto"/>
        <w:ind w:left="0" w:right="0"/>
        <w:jc w:val="both"/>
      </w:pPr>
      <w:bookmarkStart w:id="18" w:name="bookmark18"/>
      <w:bookmarkEnd w:id="18"/>
      <w:r>
        <w:rPr>
          <w:color w:val="000000"/>
          <w:spacing w:val="0"/>
          <w:w w:val="100"/>
          <w:position w:val="0"/>
          <w:sz w:val="24"/>
          <w:szCs w:val="24"/>
        </w:rPr>
        <w:t>високе притискне зусилля;</w:t>
      </w:r>
    </w:p>
    <w:p>
      <w:pPr>
        <w:pStyle w:val="Style14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39" w:val="left"/>
        </w:tabs>
        <w:bidi w:val="0"/>
        <w:spacing w:before="0" w:after="260" w:line="240" w:lineRule="auto"/>
        <w:ind w:left="0" w:right="0"/>
        <w:jc w:val="both"/>
      </w:pPr>
      <w:bookmarkStart w:id="19" w:name="bookmark19"/>
      <w:bookmarkEnd w:id="19"/>
      <w:r>
        <w:rPr>
          <w:color w:val="000000"/>
          <w:spacing w:val="0"/>
          <w:w w:val="100"/>
          <w:position w:val="0"/>
          <w:sz w:val="24"/>
          <w:szCs w:val="24"/>
        </w:rPr>
        <w:t>малий кут між кругом і поверхнею, яку обробляють.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  <w:sz w:val="24"/>
          <w:szCs w:val="24"/>
        </w:rPr>
        <w:t>ВИСНОВКИ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Приведені спостереження дозволяють оптимізувати методи та способи обробки матеріалів із застосуванням відрізних або обдирних кругів, а також виключити мож</w:t>
        <w:softHyphen/>
        <w:t>ливі причини руйнування кругів з практики технологічних операцій при різанні матері</w:t>
        <w:softHyphen/>
        <w:t>алів.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  <w:sz w:val="24"/>
          <w:szCs w:val="24"/>
        </w:rPr>
        <w:t>Результати досліджень руйнування кру</w:t>
        <w:softHyphen/>
        <w:t>гів з різним способом зміцнення, аналіз впливу анізотропії механічних властивос</w:t>
        <w:softHyphen/>
        <w:t>тей матеріалу абразивного круга дозволя</w:t>
        <w:softHyphen/>
        <w:t xml:space="preserve">ють отримати необхідну інформацію для </w:t>
      </w:r>
      <w:r>
        <w:rPr>
          <w:color w:val="000000"/>
          <w:spacing w:val="0"/>
          <w:w w:val="100"/>
          <w:position w:val="0"/>
          <w:sz w:val="24"/>
          <w:szCs w:val="24"/>
        </w:rPr>
        <w:t>створення та ефективного використання абразивного інструмента.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 w:firstLine="0"/>
        <w:jc w:val="center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2"/>
          <w:szCs w:val="22"/>
        </w:rPr>
        <w:t>ЛІТЕРАТУРА</w:t>
      </w:r>
    </w:p>
    <w:p>
      <w:pPr>
        <w:pStyle w:val="Style14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272" w:val="left"/>
        </w:tabs>
        <w:bidi w:val="0"/>
        <w:spacing w:before="0" w:after="0" w:line="240" w:lineRule="auto"/>
        <w:ind w:left="280" w:right="0" w:hanging="280"/>
        <w:jc w:val="both"/>
        <w:rPr>
          <w:sz w:val="22"/>
          <w:szCs w:val="22"/>
        </w:rPr>
      </w:pPr>
      <w:bookmarkStart w:id="20" w:name="bookmark20"/>
      <w:bookmarkEnd w:id="20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Механізація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трудомістких процесів / Ю.Д. Абрашкевич, В.М. Смірнов, Л.Є. Пелевін, В.П. Рашківський. - Київ: КНУБА, 2006. - 180 с.</w:t>
      </w:r>
    </w:p>
    <w:p>
      <w:pPr>
        <w:pStyle w:val="Style14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274" w:val="left"/>
        </w:tabs>
        <w:bidi w:val="0"/>
        <w:spacing w:before="0" w:after="0" w:line="240" w:lineRule="auto"/>
        <w:ind w:left="280" w:right="0" w:hanging="280"/>
        <w:jc w:val="both"/>
        <w:rPr>
          <w:sz w:val="22"/>
          <w:szCs w:val="22"/>
        </w:rPr>
      </w:pPr>
      <w:bookmarkStart w:id="21" w:name="bookmark21"/>
      <w:bookmarkEnd w:id="21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ГОСТ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</w:t>
      </w:r>
      <w:r>
        <w:rPr>
          <w:color w:val="000000"/>
          <w:spacing w:val="0"/>
          <w:w w:val="100"/>
          <w:position w:val="0"/>
          <w:sz w:val="22"/>
          <w:szCs w:val="22"/>
        </w:rPr>
        <w:t>12.3.028-82. Система стандартів без</w:t>
        <w:softHyphen/>
        <w:t>пеки праці. Процеси обробки абразивним і ельборовим інструментом. Вимоги безпеки.</w:t>
      </w:r>
    </w:p>
    <w:p>
      <w:pPr>
        <w:pStyle w:val="Style14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274" w:val="left"/>
        </w:tabs>
        <w:bidi w:val="0"/>
        <w:spacing w:before="0" w:after="0" w:line="240" w:lineRule="auto"/>
        <w:ind w:left="280" w:right="0" w:hanging="280"/>
        <w:jc w:val="both"/>
        <w:rPr>
          <w:sz w:val="22"/>
          <w:szCs w:val="22"/>
        </w:rPr>
      </w:pPr>
      <w:bookmarkStart w:id="22" w:name="bookmark22"/>
      <w:bookmarkEnd w:id="22"/>
      <w:r>
        <w:rPr>
          <w:color w:val="000000"/>
          <w:spacing w:val="0"/>
          <w:w w:val="100"/>
          <w:position w:val="0"/>
          <w:sz w:val="22"/>
          <w:szCs w:val="22"/>
        </w:rPr>
        <w:t>to</w:t>
      </w:r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p</w:t>
      </w:r>
      <w:r>
        <w:rPr>
          <w:color w:val="000000"/>
          <w:spacing w:val="0"/>
          <w:w w:val="100"/>
          <w:position w:val="0"/>
          <w:sz w:val="22"/>
          <w:szCs w:val="22"/>
        </w:rPr>
        <w:t>.7/www.koround.ru/root/files/specs/abraziv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nii/gost-3060-86</w:t>
      </w:r>
    </w:p>
    <w:p>
      <w:pPr>
        <w:pStyle w:val="Style14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274" w:val="left"/>
        </w:tabs>
        <w:bidi w:val="0"/>
        <w:spacing w:before="0" w:after="0" w:line="264" w:lineRule="auto"/>
        <w:ind w:left="0" w:right="0" w:firstLine="0"/>
        <w:jc w:val="both"/>
        <w:rPr>
          <w:sz w:val="22"/>
          <w:szCs w:val="22"/>
        </w:rPr>
      </w:pPr>
      <w:bookmarkStart w:id="23" w:name="bookmark23"/>
      <w:bookmarkEnd w:id="23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h//^: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//shlif'.by/uploads/KatalogP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1 </w:t>
      </w:r>
      <w:r>
        <w:rPr>
          <w:color w:val="000000"/>
          <w:spacing w:val="0"/>
          <w:w w:val="100"/>
          <w:position w:val="0"/>
          <w:sz w:val="22"/>
          <w:szCs w:val="22"/>
        </w:rPr>
        <w:t>.pdf</w:t>
      </w:r>
    </w:p>
    <w:p>
      <w:pPr>
        <w:pStyle w:val="Style14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274" w:val="left"/>
        </w:tabs>
        <w:bidi w:val="0"/>
        <w:spacing w:before="0" w:after="260" w:line="240" w:lineRule="auto"/>
        <w:ind w:left="280" w:right="0" w:hanging="280"/>
        <w:jc w:val="both"/>
        <w:rPr>
          <w:sz w:val="22"/>
          <w:szCs w:val="22"/>
        </w:rPr>
      </w:pPr>
      <w:bookmarkStart w:id="24" w:name="bookmark24"/>
      <w:bookmarkEnd w:id="24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Абрашкевич Ю. Д.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Підвищення експлуата</w:t>
        <w:softHyphen/>
        <w:t xml:space="preserve">ційних показників абразивного інструменту / Ю. Д. Абрашкевич, Л. Є. Педевін, А. Г. Поліщук. // ГБДММ. - 2012. - №80. - С. </w:t>
      </w:r>
      <w:r>
        <w:rPr>
          <w:color w:val="000000"/>
          <w:spacing w:val="0"/>
          <w:w w:val="100"/>
          <w:position w:val="0"/>
          <w:sz w:val="22"/>
          <w:szCs w:val="22"/>
        </w:rPr>
        <w:t>30</w:t>
        <w:softHyphen/>
      </w:r>
      <w:r>
        <w:rPr>
          <w:color w:val="000000"/>
          <w:spacing w:val="0"/>
          <w:w w:val="100"/>
          <w:position w:val="0"/>
          <w:sz w:val="22"/>
          <w:szCs w:val="22"/>
        </w:rPr>
      </w:r>
      <w:r>
        <w:rPr>
          <w:color w:val="000000"/>
          <w:spacing w:val="0"/>
          <w:w w:val="100"/>
          <w:position w:val="0"/>
          <w:sz w:val="22"/>
          <w:szCs w:val="22"/>
        </w:rPr>
        <w:t>37.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260" w:line="240" w:lineRule="auto"/>
        <w:ind w:left="0" w:right="0" w:firstLine="0"/>
        <w:jc w:val="center"/>
        <w:rPr>
          <w:sz w:val="22"/>
          <w:szCs w:val="22"/>
        </w:rPr>
      </w:pPr>
      <w:r>
        <w:rPr>
          <w:color w:val="000000"/>
          <w:spacing w:val="0"/>
          <w:w w:val="100"/>
          <w:position w:val="0"/>
          <w:sz w:val="22"/>
          <w:szCs w:val="22"/>
        </w:rPr>
        <w:t>REFERENCES</w:t>
      </w:r>
    </w:p>
    <w:p>
      <w:pPr>
        <w:pStyle w:val="Style14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272" w:val="left"/>
        </w:tabs>
        <w:bidi w:val="0"/>
        <w:spacing w:before="0" w:after="0" w:line="240" w:lineRule="auto"/>
        <w:ind w:left="280" w:right="0" w:hanging="280"/>
        <w:jc w:val="both"/>
        <w:rPr>
          <w:sz w:val="20"/>
          <w:szCs w:val="20"/>
        </w:rPr>
      </w:pPr>
      <w:bookmarkStart w:id="25" w:name="bookmark25"/>
      <w:bookmarkEnd w:id="25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Abrashkevich Ju.D</w:t>
      </w:r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 xml:space="preserve">., Зтігпох </w:t>
      </w:r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V.M., Pelevm L.C., Rashklvs'kii V.P., 2006.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Mehanіzacіja trudomіstkih procesrv [Mechanization of labor</w:t>
        <w:softHyphen/>
        <w:t xml:space="preserve">intensive processes], Kiev, KNUCA, 180. </w:t>
      </w:r>
      <w:r>
        <w:rPr>
          <w:color w:val="000000"/>
          <w:spacing w:val="0"/>
          <w:w w:val="100"/>
          <w:position w:val="0"/>
          <w:sz w:val="20"/>
          <w:szCs w:val="20"/>
        </w:rPr>
        <w:t>- (in Ukrainian)</w:t>
      </w:r>
    </w:p>
    <w:p>
      <w:pPr>
        <w:pStyle w:val="Style14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284" w:val="left"/>
        </w:tabs>
        <w:bidi w:val="0"/>
        <w:spacing w:before="0" w:after="0" w:line="240" w:lineRule="auto"/>
        <w:ind w:left="280" w:right="0" w:hanging="280"/>
        <w:jc w:val="both"/>
        <w:rPr>
          <w:sz w:val="22"/>
          <w:szCs w:val="22"/>
        </w:rPr>
      </w:pPr>
      <w:bookmarkStart w:id="26" w:name="bookmark26"/>
      <w:bookmarkEnd w:id="26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GOST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12.3.028-82. Sistema standartiv bezpeki pracf Procesi obrobki abrazivnim 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і </w:t>
      </w:r>
      <w:r>
        <w:rPr>
          <w:color w:val="000000"/>
          <w:spacing w:val="0"/>
          <w:w w:val="100"/>
          <w:position w:val="0"/>
          <w:sz w:val="22"/>
          <w:szCs w:val="22"/>
        </w:rPr>
        <w:t>el'borovim rnstrumentom. Vimogi bezpeki. [System safety standards . The process of handling abrasive tool and elborovym . Safety requirements].</w:t>
      </w:r>
    </w:p>
    <w:p>
      <w:pPr>
        <w:pStyle w:val="Style1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280" w:right="0" w:hanging="280"/>
        <w:jc w:val="both"/>
        <w:rPr>
          <w:sz w:val="22"/>
          <w:szCs w:val="22"/>
        </w:rPr>
      </w:pPr>
      <w:bookmarkStart w:id="27" w:name="bookmark27"/>
      <w:r>
        <w:rPr>
          <w:color w:val="000000"/>
          <w:spacing w:val="0"/>
          <w:w w:val="100"/>
          <w:position w:val="0"/>
          <w:sz w:val="22"/>
          <w:szCs w:val="22"/>
        </w:rPr>
        <w:t>3</w:t>
      </w:r>
      <w:bookmarkEnd w:id="27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hftp</w:t>
      </w:r>
      <w:r>
        <w:rPr>
          <w:color w:val="000000"/>
          <w:spacing w:val="0"/>
          <w:w w:val="100"/>
          <w:position w:val="0"/>
          <w:sz w:val="22"/>
          <w:szCs w:val="22"/>
        </w:rPr>
        <w:t>.7/www.koround.ru/root/files/specs/abrazivni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i/gost-3060-86.</w:t>
      </w:r>
    </w:p>
    <w:p>
      <w:pPr>
        <w:pStyle w:val="Style14"/>
        <w:keepNext w:val="0"/>
        <w:keepLines w:val="0"/>
        <w:widowControl w:val="0"/>
        <w:numPr>
          <w:ilvl w:val="0"/>
          <w:numId w:val="7"/>
        </w:numPr>
        <w:shd w:val="clear" w:color="auto" w:fill="auto"/>
        <w:tabs>
          <w:tab w:pos="284" w:val="left"/>
        </w:tabs>
        <w:bidi w:val="0"/>
        <w:spacing w:before="0" w:after="0" w:line="240" w:lineRule="auto"/>
        <w:ind w:left="0" w:right="0" w:firstLine="0"/>
        <w:jc w:val="both"/>
        <w:rPr>
          <w:sz w:val="22"/>
          <w:szCs w:val="22"/>
        </w:rPr>
      </w:pPr>
      <w:r>
        <w:fldChar w:fldCharType="begin"/>
      </w:r>
      <w:r>
        <w:rPr/>
        <w:instrText> HYPERLINK "http://shlif.by/uploads/KatalogP1.pdf" </w:instrText>
      </w:r>
      <w:r>
        <w:fldChar w:fldCharType="separate"/>
      </w:r>
      <w:bookmarkStart w:id="28" w:name="bookmark28"/>
      <w:bookmarkEnd w:id="28"/>
      <w:r>
        <w:rPr>
          <w:color w:val="000000"/>
          <w:spacing w:val="0"/>
          <w:w w:val="100"/>
          <w:position w:val="0"/>
          <w:sz w:val="22"/>
          <w:szCs w:val="22"/>
        </w:rPr>
        <w:t>http://shlif.by/uploads/KatalogP1.pdf</w:t>
      </w:r>
      <w:r>
        <w:fldChar w:fldCharType="end"/>
      </w:r>
      <w:r>
        <w:rPr>
          <w:color w:val="000000"/>
          <w:spacing w:val="0"/>
          <w:w w:val="100"/>
          <w:position w:val="0"/>
          <w:sz w:val="22"/>
          <w:szCs w:val="22"/>
        </w:rPr>
        <w:t>.</w:t>
      </w:r>
    </w:p>
    <w:p>
      <w:pPr>
        <w:pStyle w:val="Style14"/>
        <w:keepNext w:val="0"/>
        <w:keepLines w:val="0"/>
        <w:widowControl w:val="0"/>
        <w:numPr>
          <w:ilvl w:val="0"/>
          <w:numId w:val="7"/>
        </w:numPr>
        <w:shd w:val="clear" w:color="auto" w:fill="auto"/>
        <w:tabs>
          <w:tab w:pos="284" w:val="left"/>
        </w:tabs>
        <w:bidi w:val="0"/>
        <w:spacing w:before="0" w:after="260" w:line="240" w:lineRule="auto"/>
        <w:ind w:left="280" w:right="0" w:hanging="280"/>
        <w:jc w:val="both"/>
        <w:rPr>
          <w:sz w:val="20"/>
          <w:szCs w:val="20"/>
        </w:rPr>
      </w:pPr>
      <w:bookmarkStart w:id="29" w:name="bookmark29"/>
      <w:bookmarkEnd w:id="29"/>
      <w:r>
        <w:rPr>
          <w:i/>
          <w:iCs/>
          <w:color w:val="000000"/>
          <w:spacing w:val="0"/>
          <w:w w:val="100"/>
          <w:position w:val="0"/>
          <w:sz w:val="22"/>
          <w:szCs w:val="22"/>
        </w:rPr>
        <w:t>Abrashkevich Ju.D., Pedevm L.C., PoUshhuk A.G., 2012.</w:t>
      </w:r>
      <w:r>
        <w:rPr>
          <w:color w:val="000000"/>
          <w:spacing w:val="0"/>
          <w:w w:val="100"/>
          <w:position w:val="0"/>
          <w:sz w:val="22"/>
          <w:szCs w:val="22"/>
        </w:rPr>
        <w:t xml:space="preserve"> Pіdvishhennja ekspluatacynih pokaznikw abrazivnogo rnstrumentu [Improving operational performance abrasive tools]. Girnichi, bedivelni,dorozhni ta meliora- tivni machine [Mining, construction, road and melioration machines], No 80, 30-37. </w:t>
      </w:r>
      <w:r>
        <w:rPr>
          <w:color w:val="000000"/>
          <w:spacing w:val="0"/>
          <w:w w:val="100"/>
          <w:position w:val="0"/>
          <w:sz w:val="20"/>
          <w:szCs w:val="20"/>
        </w:rPr>
        <w:t>- (in Ukrainian)</w:t>
      </w:r>
    </w:p>
    <w:sectPr>
      <w:footnotePr>
        <w:pos w:val="pageBottom"/>
        <w:numFmt w:val="decimal"/>
        <w:numRestart w:val="continuous"/>
      </w:footnotePr>
      <w:pgSz w:w="11900" w:h="16840"/>
      <w:pgMar w:top="1412" w:right="1093" w:bottom="1129" w:left="1103" w:header="0" w:footer="3" w:gutter="0"/>
      <w:cols w:num="2" w:space="506"/>
      <w:noEndnote/>
      <w:rtlGutter w:val="0"/>
      <w:docGrid w:linePitch="360"/>
    </w:sectPr>
  </w:body>
</w:document>
</file>

<file path=word/footer1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2" behindDoc="1" locked="0" layoutInCell="1" allowOverlap="1">
              <wp:simplePos x="0" y="0"/>
              <wp:positionH relativeFrom="page">
                <wp:posOffset>6671310</wp:posOffset>
              </wp:positionH>
              <wp:positionV relativeFrom="page">
                <wp:posOffset>10101580</wp:posOffset>
              </wp:positionV>
              <wp:extent cx="158750" cy="121920"/>
              <wp:wrapNone/>
              <wp:docPr id="4" name="Shape 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58750" cy="121920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4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8"/>
                              <w:szCs w:val="2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8"/>
                                <w:szCs w:val="2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30" type="#_x0000_t202" style="position:absolute;margin-left:525.29999999999995pt;margin-top:795.39999999999998pt;width:12.5pt;height:9.5999999999999996pt;z-index:-188744061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4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8"/>
                        <w:szCs w:val="2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8"/>
                          <w:szCs w:val="2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6" behindDoc="1" locked="0" layoutInCell="1" allowOverlap="1">
              <wp:simplePos x="0" y="0"/>
              <wp:positionH relativeFrom="page">
                <wp:posOffset>700405</wp:posOffset>
              </wp:positionH>
              <wp:positionV relativeFrom="page">
                <wp:posOffset>10101580</wp:posOffset>
              </wp:positionV>
              <wp:extent cx="163195" cy="120650"/>
              <wp:wrapNone/>
              <wp:docPr id="9" name="Shape 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63195" cy="120650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4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8"/>
                              <w:szCs w:val="2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8"/>
                                <w:szCs w:val="2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35" type="#_x0000_t202" style="position:absolute;margin-left:55.149999999999999pt;margin-top:795.39999999999998pt;width:12.85pt;height:9.5pt;z-index:-188744057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4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8"/>
                        <w:szCs w:val="2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8"/>
                          <w:szCs w:val="2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8" behindDoc="1" locked="0" layoutInCell="1" allowOverlap="1">
              <wp:simplePos x="0" y="0"/>
              <wp:positionH relativeFrom="page">
                <wp:posOffset>728980</wp:posOffset>
              </wp:positionH>
              <wp:positionV relativeFrom="page">
                <wp:posOffset>10104755</wp:posOffset>
              </wp:positionV>
              <wp:extent cx="158750" cy="121920"/>
              <wp:wrapNone/>
              <wp:docPr id="11" name="Shape 1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58750" cy="121920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4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8"/>
                              <w:szCs w:val="2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8"/>
                                <w:szCs w:val="2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37" type="#_x0000_t202" style="position:absolute;margin-left:57.399999999999999pt;margin-top:795.64999999999998pt;width:12.5pt;height:9.5999999999999996pt;z-index:-188744055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4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8"/>
                        <w:szCs w:val="2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8"/>
                          <w:szCs w:val="2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header1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0" behindDoc="1" locked="0" layoutInCell="1" allowOverlap="1">
              <wp:simplePos x="0" y="0"/>
              <wp:positionH relativeFrom="page">
                <wp:posOffset>2151380</wp:posOffset>
              </wp:positionH>
              <wp:positionV relativeFrom="page">
                <wp:posOffset>428625</wp:posOffset>
              </wp:positionV>
              <wp:extent cx="3255010" cy="100330"/>
              <wp:wrapNone/>
              <wp:docPr id="1" name="Shape 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55010" cy="100330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4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rPr>
                              <w:rFonts w:ascii="Century Gothic" w:eastAsia="Century Gothic" w:hAnsi="Century Gothic" w:cs="Century Gothic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БУДІВЕЛЬНІ МАШИНИ І ТЕХНОЛОГІЧНЕ ОБЛАДНАННЯ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169.40000000000001pt;margin-top:33.75pt;width:256.30000000000001pt;height:7.9000000000000004pt;z-index:-188744063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4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rPr>
                        <w:rFonts w:ascii="Century Gothic" w:eastAsia="Century Gothic" w:hAnsi="Century Gothic" w:cs="Century Gothic"/>
                        <w:color w:val="000000"/>
                        <w:spacing w:val="0"/>
                        <w:w w:val="100"/>
                        <w:position w:val="0"/>
                      </w:rPr>
                      <w:t>БУДІВЕЛЬНІ МАШИНИ І ТЕХНОЛОГІЧНЕ ОБЛАДНАННЯ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mc:AlternateContent>
        <mc:Choice Requires="wps">
          <w:drawing>
            <wp:anchor simplePos="0" relativeHeight="2" behindDoc="1" locked="0" layoutInCell="1" allowOverlap="1">
              <wp:simplePos x="0" y="0"/>
              <wp:positionH relativeFrom="page">
                <wp:posOffset>697230</wp:posOffset>
              </wp:positionH>
              <wp:positionV relativeFrom="page">
                <wp:posOffset>629920</wp:posOffset>
              </wp:positionV>
              <wp:extent cx="6160135" cy="0"/>
              <wp:wrapNone/>
              <wp:docPr id="3" name="Shape 3"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ext cx="6160135" cy="0"/>
                      </a:xfrm>
                      <a:prstGeom prst="straightConnector1"/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54.899999999999999pt;margin-top:49.600000000000001pt;width:485.05000000000001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4" behindDoc="1" locked="0" layoutInCell="1" allowOverlap="1">
              <wp:simplePos x="0" y="0"/>
              <wp:positionH relativeFrom="page">
                <wp:posOffset>2124710</wp:posOffset>
              </wp:positionH>
              <wp:positionV relativeFrom="page">
                <wp:posOffset>492760</wp:posOffset>
              </wp:positionV>
              <wp:extent cx="3259455" cy="108585"/>
              <wp:wrapNone/>
              <wp:docPr id="6" name="Shape 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59455" cy="10858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4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rPr>
                              <w:rFonts w:ascii="Century Gothic" w:eastAsia="Century Gothic" w:hAnsi="Century Gothic" w:cs="Century Gothic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БУДІВЕЛЬНІ МАШИНИ І ТЕХНОЛОГІЧНЕ ОБЛАДНАННЯ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32" type="#_x0000_t202" style="position:absolute;margin-left:167.30000000000001pt;margin-top:38.800000000000004pt;width:256.64999999999998pt;height:8.5500000000000007pt;z-index:-188744059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4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rPr>
                        <w:rFonts w:ascii="Century Gothic" w:eastAsia="Century Gothic" w:hAnsi="Century Gothic" w:cs="Century Gothic"/>
                        <w:color w:val="000000"/>
                        <w:spacing w:val="0"/>
                        <w:w w:val="100"/>
                        <w:position w:val="0"/>
                      </w:rPr>
                      <w:t>БУДІВЕЛЬНІ МАШИНИ І ТЕХНОЛОГІЧНЕ ОБЛАДНАННЯ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mc:AlternateContent>
        <mc:Choice Requires="wps">
          <w:drawing>
            <wp:anchor simplePos="0" relativeHeight="2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629920</wp:posOffset>
              </wp:positionV>
              <wp:extent cx="6159500" cy="0"/>
              <wp:wrapNone/>
              <wp:docPr id="8" name="Shape 8"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ext cx="6159500" cy="0"/>
                      </a:xfrm>
                      <a:prstGeom prst="straightConnector1"/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53.pt;margin-top:49.600000000000001pt;width:485.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</w:p>
</w:hdr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</w:rPr>
    </w:lvl>
  </w:abstractNum>
  <w:abstractNum w:abstractNumId="4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</w:rPr>
    </w:lvl>
  </w:abstractNum>
  <w:abstractNum w:abstractNumId="6">
    <w:multiLevelType w:val="multilevel"/>
    <w:lvl w:ilvl="0">
      <w:start w:val="4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</w:rPr>
    </w:lvl>
  </w:abstractNum>
  <w:num w:numId="1">
    <w:abstractNumId w:val="0"/>
  </w:num>
  <w:num w:numId="3">
    <w:abstractNumId w:val="2"/>
  </w:num>
  <w:num w:numId="5">
    <w:abstractNumId w:val="4"/>
  </w:num>
  <w:num w:numId="7">
    <w:abstractNumId w:val="6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evenAndOddHeaders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Body text (6)_"/>
    <w:basedOn w:val="DefaultParagraphFont"/>
    <w:link w:val="Style2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5">
    <w:name w:val="Header or footer (2)_"/>
    <w:basedOn w:val="DefaultParagraphFont"/>
    <w:link w:val="Style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Body text (4)_"/>
    <w:basedOn w:val="DefaultParagraphFont"/>
    <w:link w:val="Style7"/>
    <w:rPr>
      <w:rFonts w:ascii="Arial" w:eastAsia="Arial" w:hAnsi="Arial" w:cs="Arial"/>
      <w:b w:val="0"/>
      <w:bCs w:val="0"/>
      <w:i/>
      <w:iCs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11">
    <w:name w:val="Body text (2)_"/>
    <w:basedOn w:val="DefaultParagraphFont"/>
    <w:link w:val="Style10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15">
    <w:name w:val="Body text_"/>
    <w:basedOn w:val="DefaultParagraphFont"/>
    <w:link w:val="Style1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22">
    <w:name w:val="Table caption_"/>
    <w:basedOn w:val="DefaultParagraphFont"/>
    <w:link w:val="Style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25">
    <w:name w:val="Other_"/>
    <w:basedOn w:val="DefaultParagraphFont"/>
    <w:link w:val="Styl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55">
    <w:name w:val="Heading #2_"/>
    <w:basedOn w:val="DefaultParagraphFont"/>
    <w:link w:val="Style54"/>
    <w:rPr>
      <w:rFonts w:ascii="Times New Roman" w:eastAsia="Times New Roman" w:hAnsi="Times New Roman" w:cs="Times New Roman"/>
      <w:b w:val="0"/>
      <w:bCs w:val="0"/>
      <w:i/>
      <w:iCs/>
      <w:smallCaps/>
      <w:strike w:val="0"/>
      <w:sz w:val="18"/>
      <w:szCs w:val="18"/>
      <w:u w:val="none"/>
      <w:shd w:val="clear" w:color="auto" w:fill="auto"/>
    </w:rPr>
  </w:style>
  <w:style w:type="character" w:customStyle="1" w:styleId="CharStyle60">
    <w:name w:val="Picture caption_"/>
    <w:basedOn w:val="DefaultParagraphFont"/>
    <w:link w:val="Style5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65">
    <w:name w:val="Body text (3)_"/>
    <w:basedOn w:val="DefaultParagraphFont"/>
    <w:link w:val="Style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2">
    <w:name w:val="Body text (5)_"/>
    <w:basedOn w:val="DefaultParagraphFont"/>
    <w:link w:val="Style81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89">
    <w:name w:val="Heading #1_"/>
    <w:basedOn w:val="DefaultParagraphFont"/>
    <w:link w:val="Style8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40"/>
      <w:szCs w:val="40"/>
      <w:u w:val="none"/>
      <w:shd w:val="clear" w:color="auto" w:fill="auto"/>
    </w:rPr>
  </w:style>
  <w:style w:type="paragraph" w:customStyle="1" w:styleId="Style2">
    <w:name w:val="Body text (6)"/>
    <w:basedOn w:val="Normal"/>
    <w:link w:val="CharStyle3"/>
    <w:pPr>
      <w:widowControl w:val="0"/>
      <w:shd w:val="clear" w:color="auto" w:fill="auto"/>
      <w:spacing w:after="700"/>
      <w:jc w:val="center"/>
    </w:pPr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4">
    <w:name w:val="Header or footer (2)"/>
    <w:basedOn w:val="Normal"/>
    <w:link w:val="CharStyle5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Body text (4)"/>
    <w:basedOn w:val="Normal"/>
    <w:link w:val="CharStyle8"/>
    <w:pPr>
      <w:widowControl w:val="0"/>
      <w:shd w:val="clear" w:color="auto" w:fill="auto"/>
      <w:spacing w:after="170" w:line="216" w:lineRule="auto"/>
    </w:pPr>
    <w:rPr>
      <w:rFonts w:ascii="Arial" w:eastAsia="Arial" w:hAnsi="Arial" w:cs="Arial"/>
      <w:b w:val="0"/>
      <w:bCs w:val="0"/>
      <w:i/>
      <w:iCs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10">
    <w:name w:val="Body text (2)"/>
    <w:basedOn w:val="Normal"/>
    <w:link w:val="CharStyle11"/>
    <w:pPr>
      <w:widowControl w:val="0"/>
      <w:shd w:val="clear" w:color="auto" w:fill="auto"/>
      <w:ind w:left="300" w:firstLine="280"/>
    </w:pPr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  <w:shd w:val="clear" w:color="auto" w:fill="auto"/>
    </w:rPr>
  </w:style>
  <w:style w:type="paragraph" w:styleId="Style14">
    <w:name w:val="Body text"/>
    <w:basedOn w:val="Normal"/>
    <w:link w:val="CharStyle15"/>
    <w:qFormat/>
    <w:pPr>
      <w:widowControl w:val="0"/>
      <w:shd w:val="clear" w:color="auto" w:fill="auto"/>
      <w:ind w:firstLine="3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21">
    <w:name w:val="Table caption"/>
    <w:basedOn w:val="Normal"/>
    <w:link w:val="CharStyle22"/>
    <w:pPr>
      <w:widowControl w:val="0"/>
      <w:shd w:val="clear" w:color="auto" w:fill="auto"/>
      <w:ind w:left="43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24">
    <w:name w:val="Other"/>
    <w:basedOn w:val="Normal"/>
    <w:link w:val="CharStyle25"/>
    <w:pPr>
      <w:widowControl w:val="0"/>
      <w:shd w:val="clear" w:color="auto" w:fill="auto"/>
      <w:ind w:firstLine="3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54">
    <w:name w:val="Heading #2"/>
    <w:basedOn w:val="Normal"/>
    <w:link w:val="CharStyle55"/>
    <w:pPr>
      <w:widowControl w:val="0"/>
      <w:shd w:val="clear" w:color="auto" w:fill="auto"/>
      <w:spacing w:line="180" w:lineRule="auto"/>
      <w:ind w:firstLine="860"/>
      <w:outlineLvl w:val="1"/>
    </w:pPr>
    <w:rPr>
      <w:rFonts w:ascii="Times New Roman" w:eastAsia="Times New Roman" w:hAnsi="Times New Roman" w:cs="Times New Roman"/>
      <w:b w:val="0"/>
      <w:bCs w:val="0"/>
      <w:i/>
      <w:iCs/>
      <w:smallCaps/>
      <w:strike w:val="0"/>
      <w:sz w:val="18"/>
      <w:szCs w:val="18"/>
      <w:u w:val="none"/>
      <w:shd w:val="clear" w:color="auto" w:fill="auto"/>
    </w:rPr>
  </w:style>
  <w:style w:type="paragraph" w:customStyle="1" w:styleId="Style59">
    <w:name w:val="Picture caption"/>
    <w:basedOn w:val="Normal"/>
    <w:link w:val="CharStyle60"/>
    <w:pPr>
      <w:widowControl w:val="0"/>
      <w:shd w:val="clear" w:color="auto" w:fill="auto"/>
      <w:ind w:firstLine="3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64">
    <w:name w:val="Body text (3)"/>
    <w:basedOn w:val="Normal"/>
    <w:link w:val="CharStyle65"/>
    <w:pPr>
      <w:widowControl w:val="0"/>
      <w:shd w:val="clear" w:color="auto" w:fill="auto"/>
      <w:ind w:firstLine="19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81">
    <w:name w:val="Body text (5)"/>
    <w:basedOn w:val="Normal"/>
    <w:link w:val="CharStyle82"/>
    <w:pPr>
      <w:widowControl w:val="0"/>
      <w:shd w:val="clear" w:color="auto" w:fill="auto"/>
      <w:ind w:firstLine="660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88">
    <w:name w:val="Heading #1"/>
    <w:basedOn w:val="Normal"/>
    <w:link w:val="CharStyle89"/>
    <w:pPr>
      <w:widowControl w:val="0"/>
      <w:shd w:val="clear" w:color="auto" w:fill="auto"/>
      <w:spacing w:line="180" w:lineRule="auto"/>
      <w:jc w:val="center"/>
      <w:outlineLvl w:val="0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40"/>
      <w:szCs w:val="40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eader" Target="header3.xml"/><Relationship Id="rId10" Type="http://schemas.openxmlformats.org/officeDocument/2006/relationships/footer" Target="footer3.xml"/><Relationship Id="rId11" Type="http://schemas.openxmlformats.org/officeDocument/2006/relationships/image" Target="media/image1.jpeg"/><Relationship Id="rId12" Type="http://schemas.openxmlformats.org/officeDocument/2006/relationships/image" Target="media/image1.jpeg" TargetMode="External"/></Relationships>
</file>