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0E97" w:rsidRDefault="00DD0C8E" w:rsidP="00DD0C8E">
      <w:pPr>
        <w:jc w:val="center"/>
      </w:pPr>
      <w:r w:rsidRPr="00DD0C8E">
        <w:rPr>
          <w:rFonts w:cs="Times New Roman"/>
          <w:b/>
          <w:caps/>
        </w:rPr>
        <w:t>СТРУКТУРНА МОДЕРНІЗАЦІЯ КЛАСТЕРІВ В ЕКО-ІНДУСТРІАЛЬНІ ПАРКИ ЗА УМОВ ЦИФРОВІЗАЦІЇ БІЗНЕСУ</w:t>
      </w:r>
    </w:p>
    <w:p w:rsidR="00DD0C8E" w:rsidRDefault="00DD0C8E" w:rsidP="00DD0C8E">
      <w:pPr>
        <w:pStyle w:val="AuthorsoftheArticle"/>
      </w:pPr>
      <w:r>
        <w:t>Лаврухіна Катерина Олександрівна</w:t>
      </w:r>
      <w:r w:rsidRPr="00DD0C8E">
        <w:rPr>
          <w:vertAlign w:val="superscript"/>
        </w:rPr>
        <w:t>1</w:t>
      </w:r>
      <w:r>
        <w:t xml:space="preserve">, </w:t>
      </w:r>
    </w:p>
    <w:p w:rsidR="00810E97" w:rsidRDefault="00DD0C8E" w:rsidP="00DD0C8E">
      <w:pPr>
        <w:pStyle w:val="AuthorsoftheArticle"/>
        <w:rPr>
          <w:vertAlign w:val="superscript"/>
        </w:rPr>
      </w:pPr>
      <w:r>
        <w:t>Грикун Вікторія Андріївна</w:t>
      </w:r>
      <w:r w:rsidRPr="00DD0C8E">
        <w:rPr>
          <w:vertAlign w:val="superscript"/>
        </w:rPr>
        <w:t>1</w:t>
      </w:r>
      <w:r w:rsidR="00625CAD">
        <w:t xml:space="preserve"> </w:t>
      </w:r>
    </w:p>
    <w:p w:rsidR="00DD0C8E" w:rsidRPr="00285DCF" w:rsidRDefault="00DD0C8E" w:rsidP="00DD0C8E">
      <w:pPr>
        <w:jc w:val="center"/>
        <w:rPr>
          <w:rFonts w:cs="Times New Roman"/>
          <w:i/>
          <w:szCs w:val="28"/>
        </w:rPr>
      </w:pPr>
      <w:r w:rsidRPr="00DD0C8E">
        <w:rPr>
          <w:rFonts w:cs="Times New Roman"/>
          <w:i/>
          <w:szCs w:val="28"/>
          <w:vertAlign w:val="superscript"/>
        </w:rPr>
        <w:t>1</w:t>
      </w:r>
      <w:r w:rsidRPr="00DD0C8E">
        <w:rPr>
          <w:rFonts w:cs="Times New Roman"/>
          <w:i/>
          <w:szCs w:val="28"/>
        </w:rPr>
        <w:t>Київський</w:t>
      </w:r>
      <w:r w:rsidRPr="00285DCF">
        <w:rPr>
          <w:rFonts w:cs="Times New Roman"/>
          <w:i/>
          <w:szCs w:val="28"/>
        </w:rPr>
        <w:t xml:space="preserve"> національний університет будівництва і архітектури</w:t>
      </w:r>
    </w:p>
    <w:p w:rsidR="00DD0C8E" w:rsidRPr="00DD0C8E" w:rsidRDefault="00DD0C8E" w:rsidP="00DD0C8E">
      <w:pPr>
        <w:jc w:val="center"/>
        <w:rPr>
          <w:rFonts w:cs="Times New Roman"/>
          <w:i/>
          <w:szCs w:val="28"/>
        </w:rPr>
      </w:pPr>
      <w:r w:rsidRPr="00285DCF">
        <w:rPr>
          <w:rFonts w:cs="Times New Roman"/>
          <w:i/>
          <w:szCs w:val="28"/>
          <w:lang w:val="en-US"/>
        </w:rPr>
        <w:t>lavrukhina</w:t>
      </w:r>
      <w:r w:rsidRPr="00DD0C8E">
        <w:rPr>
          <w:rFonts w:cs="Times New Roman"/>
          <w:i/>
          <w:szCs w:val="28"/>
        </w:rPr>
        <w:t>.</w:t>
      </w:r>
      <w:r w:rsidRPr="00285DCF">
        <w:rPr>
          <w:rFonts w:cs="Times New Roman"/>
          <w:i/>
          <w:szCs w:val="28"/>
          <w:lang w:val="en-US"/>
        </w:rPr>
        <w:t>ko</w:t>
      </w:r>
      <w:r w:rsidRPr="00DD0C8E">
        <w:rPr>
          <w:rFonts w:cs="Times New Roman"/>
          <w:i/>
          <w:szCs w:val="28"/>
        </w:rPr>
        <w:t>@</w:t>
      </w:r>
      <w:r w:rsidRPr="00285DCF">
        <w:rPr>
          <w:rFonts w:cs="Times New Roman"/>
          <w:i/>
          <w:szCs w:val="28"/>
          <w:lang w:val="en-US"/>
        </w:rPr>
        <w:t>knuba</w:t>
      </w:r>
      <w:r w:rsidRPr="00DD0C8E">
        <w:rPr>
          <w:rFonts w:cs="Times New Roman"/>
          <w:i/>
          <w:szCs w:val="28"/>
        </w:rPr>
        <w:t>.</w:t>
      </w:r>
      <w:r w:rsidRPr="00285DCF">
        <w:rPr>
          <w:rFonts w:cs="Times New Roman"/>
          <w:i/>
          <w:szCs w:val="28"/>
          <w:lang w:val="en-US"/>
        </w:rPr>
        <w:t>edu</w:t>
      </w:r>
      <w:r w:rsidRPr="00DD0C8E">
        <w:rPr>
          <w:rFonts w:cs="Times New Roman"/>
          <w:i/>
          <w:szCs w:val="28"/>
        </w:rPr>
        <w:t>.</w:t>
      </w:r>
      <w:r w:rsidRPr="00285DCF">
        <w:rPr>
          <w:rFonts w:cs="Times New Roman"/>
          <w:i/>
          <w:szCs w:val="28"/>
          <w:lang w:val="en-US"/>
        </w:rPr>
        <w:t>ua</w:t>
      </w:r>
    </w:p>
    <w:p w:rsidR="00810E97" w:rsidRDefault="00810E97"/>
    <w:p w:rsidR="00DD0C8E" w:rsidRPr="00285DCF" w:rsidRDefault="00DD0C8E" w:rsidP="00DD0C8E">
      <w:pPr>
        <w:jc w:val="both"/>
        <w:rPr>
          <w:rFonts w:cs="Times New Roman"/>
          <w:szCs w:val="28"/>
        </w:rPr>
      </w:pPr>
      <w:r w:rsidRPr="00285DCF">
        <w:rPr>
          <w:rFonts w:cs="Times New Roman"/>
          <w:szCs w:val="28"/>
        </w:rPr>
        <w:t>Сьогодні ми спостерігаємо швидкі темпи реіндустріалізації технологічно розвинутих країн на нових підставах (адитивні технології (3D-друк), робототехніка, відновлювальна енергетика та ін.). І це по суті не залишає шансу малорозвинутим економікам.</w:t>
      </w:r>
    </w:p>
    <w:p w:rsidR="00DD0C8E" w:rsidRPr="00285DCF" w:rsidRDefault="00DD0C8E" w:rsidP="00DD0C8E">
      <w:pPr>
        <w:jc w:val="both"/>
        <w:rPr>
          <w:rFonts w:cs="Times New Roman"/>
          <w:szCs w:val="28"/>
        </w:rPr>
      </w:pPr>
      <w:r w:rsidRPr="00285DCF">
        <w:rPr>
          <w:rFonts w:cs="Times New Roman"/>
          <w:szCs w:val="28"/>
        </w:rPr>
        <w:t>Не менш важливими є і соціально-економічні наслідки цифровізації. Витіснення людини з промисловості, сільського господарства та сервісів не може не мати системних наслідків. Сучасний глобальний ринок праці – це складна багатокомпонентна та динамічна система, що піддається перманентному впливу інформаційних технологій, що тягне за собою зміни у змісті процесу праці, його організації, структурі зайнятості, соціально-трудових відносинах [</w:t>
      </w:r>
      <w:r w:rsidR="00625CAD" w:rsidRPr="00625CAD">
        <w:rPr>
          <w:rFonts w:cs="Times New Roman"/>
          <w:szCs w:val="28"/>
        </w:rPr>
        <w:t>4</w:t>
      </w:r>
      <w:r w:rsidRPr="00285DCF">
        <w:rPr>
          <w:rFonts w:cs="Times New Roman"/>
          <w:szCs w:val="28"/>
        </w:rPr>
        <w:t>].</w:t>
      </w:r>
    </w:p>
    <w:p w:rsidR="00DD0C8E" w:rsidRPr="00285DCF" w:rsidRDefault="00DD0C8E" w:rsidP="00DD0C8E">
      <w:pPr>
        <w:jc w:val="both"/>
        <w:rPr>
          <w:rFonts w:cs="Times New Roman"/>
          <w:szCs w:val="28"/>
        </w:rPr>
      </w:pPr>
      <w:r w:rsidRPr="00285DCF">
        <w:rPr>
          <w:rFonts w:cs="Times New Roman"/>
          <w:szCs w:val="28"/>
        </w:rPr>
        <w:t xml:space="preserve">Об’єктивні процеси автоматизації, навіть за умови їх стримання урядами та суспільством, набиратимуть прискорення і цілком можливо досягнуть тієї межі, коли для підтримки всієї світової системи виробництва та логістики виявиться достатньо лише кількох мільйонів висококваліфікованих професіоналів. </w:t>
      </w:r>
    </w:p>
    <w:p w:rsidR="00DD0C8E" w:rsidRPr="00285DCF" w:rsidRDefault="00DD0C8E" w:rsidP="00DD0C8E">
      <w:pPr>
        <w:jc w:val="both"/>
        <w:rPr>
          <w:rFonts w:cs="Times New Roman"/>
          <w:szCs w:val="28"/>
        </w:rPr>
      </w:pPr>
      <w:r w:rsidRPr="00285DCF">
        <w:rPr>
          <w:rFonts w:cs="Times New Roman"/>
          <w:szCs w:val="28"/>
        </w:rPr>
        <w:t>Доречно розглянути</w:t>
      </w:r>
      <w:r w:rsidR="00625CAD">
        <w:rPr>
          <w:rFonts w:cs="Times New Roman"/>
          <w:szCs w:val="28"/>
        </w:rPr>
        <w:t xml:space="preserve"> авторське визначення поняття «к</w:t>
      </w:r>
      <w:r w:rsidRPr="00285DCF">
        <w:rPr>
          <w:rFonts w:cs="Times New Roman"/>
          <w:szCs w:val="28"/>
        </w:rPr>
        <w:t>ластер» - це сконцентрована за певною ознакою на певній території група взаємопов’язаних організацій, які доповнюють один одного, формують унікальні компетенції та дифузії знань і умінь, таким чином збільшуючи конкурентоздатність окремих компаній і кластера вцілому [</w:t>
      </w:r>
      <w:r w:rsidR="00625CAD">
        <w:rPr>
          <w:rFonts w:cs="Times New Roman"/>
          <w:szCs w:val="28"/>
        </w:rPr>
        <w:t>1</w:t>
      </w:r>
      <w:r w:rsidRPr="00285DCF">
        <w:rPr>
          <w:rFonts w:cs="Times New Roman"/>
          <w:szCs w:val="28"/>
        </w:rPr>
        <w:t>].</w:t>
      </w:r>
    </w:p>
    <w:p w:rsidR="00DD0C8E" w:rsidRPr="00285DCF" w:rsidRDefault="00DD0C8E" w:rsidP="00DD0C8E">
      <w:pPr>
        <w:jc w:val="both"/>
        <w:rPr>
          <w:rFonts w:cs="Times New Roman"/>
          <w:szCs w:val="28"/>
        </w:rPr>
      </w:pPr>
      <w:r w:rsidRPr="00285DCF">
        <w:rPr>
          <w:rFonts w:cs="Times New Roman"/>
          <w:szCs w:val="28"/>
        </w:rPr>
        <w:t>При цьому, кластерний розвиток – не обов'язково виступає короткостроковим рішенням для будь-якого структурного недоліку в системі. Радше, це довгострокове зобов’язання з боку всіх зацікавлених сторін. У багатьох країнах влада сприяє створенню кластерів. Ініціативи, спеціальні економічні зони чи індустріальні парки. До них належать супутні бізнес-послуги, які пропонуються учасниками кластеру координуючою організацією, такою як кластер управління або управління парком.</w:t>
      </w:r>
    </w:p>
    <w:p w:rsidR="00DD0C8E" w:rsidRPr="00285DCF" w:rsidRDefault="00DD0C8E" w:rsidP="00DD0C8E">
      <w:pPr>
        <w:jc w:val="both"/>
        <w:rPr>
          <w:rFonts w:cs="Times New Roman"/>
          <w:szCs w:val="28"/>
        </w:rPr>
      </w:pPr>
      <w:r w:rsidRPr="00285DCF">
        <w:rPr>
          <w:rFonts w:cs="Times New Roman"/>
          <w:szCs w:val="28"/>
        </w:rPr>
        <w:t>Такі кластерні ініціативи є організованими мережами між великою кількістю різних учасників в регіональній економічній системі.</w:t>
      </w:r>
    </w:p>
    <w:p w:rsidR="00DD0C8E" w:rsidRPr="00285DCF" w:rsidRDefault="00DD0C8E" w:rsidP="00DD0C8E">
      <w:pPr>
        <w:jc w:val="both"/>
        <w:rPr>
          <w:rFonts w:cs="Times New Roman"/>
          <w:szCs w:val="28"/>
        </w:rPr>
      </w:pPr>
      <w:r w:rsidRPr="00285DCF">
        <w:rPr>
          <w:rFonts w:cs="Times New Roman"/>
          <w:szCs w:val="28"/>
        </w:rPr>
        <w:t>Усі кластери мають чотири спільні кваліфікаційні характеристики:</w:t>
      </w:r>
    </w:p>
    <w:p w:rsidR="00DD0C8E" w:rsidRPr="00285DCF" w:rsidRDefault="00DD0C8E" w:rsidP="00DD0C8E">
      <w:pPr>
        <w:pStyle w:val="a8"/>
        <w:widowControl/>
        <w:numPr>
          <w:ilvl w:val="0"/>
          <w:numId w:val="3"/>
        </w:numPr>
        <w:suppressAutoHyphens w:val="0"/>
        <w:spacing w:after="0"/>
        <w:ind w:left="0" w:firstLine="567"/>
        <w:jc w:val="both"/>
        <w:rPr>
          <w:rFonts w:cs="Times New Roman"/>
          <w:szCs w:val="28"/>
        </w:rPr>
      </w:pPr>
      <w:r w:rsidRPr="00285DCF">
        <w:rPr>
          <w:rFonts w:cs="Times New Roman"/>
          <w:szCs w:val="28"/>
        </w:rPr>
        <w:t>просторовий фокус</w:t>
      </w:r>
    </w:p>
    <w:p w:rsidR="00DD0C8E" w:rsidRPr="00285DCF" w:rsidRDefault="00DD0C8E" w:rsidP="00DD0C8E">
      <w:pPr>
        <w:pStyle w:val="a8"/>
        <w:widowControl/>
        <w:numPr>
          <w:ilvl w:val="0"/>
          <w:numId w:val="3"/>
        </w:numPr>
        <w:suppressAutoHyphens w:val="0"/>
        <w:spacing w:after="0"/>
        <w:ind w:left="0" w:firstLine="567"/>
        <w:jc w:val="both"/>
        <w:rPr>
          <w:rFonts w:cs="Times New Roman"/>
          <w:szCs w:val="28"/>
        </w:rPr>
      </w:pPr>
      <w:r w:rsidRPr="00285DCF">
        <w:rPr>
          <w:rFonts w:cs="Times New Roman"/>
          <w:szCs w:val="28"/>
        </w:rPr>
        <w:t>галузева спрямованість</w:t>
      </w:r>
    </w:p>
    <w:p w:rsidR="00DD0C8E" w:rsidRPr="00285DCF" w:rsidRDefault="00DD0C8E" w:rsidP="00DD0C8E">
      <w:pPr>
        <w:pStyle w:val="a8"/>
        <w:widowControl/>
        <w:numPr>
          <w:ilvl w:val="0"/>
          <w:numId w:val="3"/>
        </w:numPr>
        <w:suppressAutoHyphens w:val="0"/>
        <w:spacing w:after="0"/>
        <w:ind w:left="0" w:firstLine="567"/>
        <w:jc w:val="both"/>
        <w:rPr>
          <w:rFonts w:cs="Times New Roman"/>
          <w:szCs w:val="28"/>
        </w:rPr>
      </w:pPr>
      <w:r w:rsidRPr="00285DCF">
        <w:rPr>
          <w:rFonts w:cs="Times New Roman"/>
          <w:szCs w:val="28"/>
        </w:rPr>
        <w:t>критична маса фірм</w:t>
      </w:r>
    </w:p>
    <w:p w:rsidR="00DD0C8E" w:rsidRPr="00285DCF" w:rsidRDefault="00DD0C8E" w:rsidP="00DD0C8E">
      <w:pPr>
        <w:pStyle w:val="a8"/>
        <w:widowControl/>
        <w:numPr>
          <w:ilvl w:val="0"/>
          <w:numId w:val="3"/>
        </w:numPr>
        <w:suppressAutoHyphens w:val="0"/>
        <w:spacing w:after="0"/>
        <w:ind w:left="0" w:firstLine="567"/>
        <w:jc w:val="both"/>
        <w:rPr>
          <w:rFonts w:cs="Times New Roman"/>
          <w:szCs w:val="28"/>
        </w:rPr>
      </w:pPr>
      <w:r w:rsidRPr="00285DCF">
        <w:rPr>
          <w:rFonts w:cs="Times New Roman"/>
          <w:szCs w:val="28"/>
        </w:rPr>
        <w:t>одиниця управління</w:t>
      </w:r>
    </w:p>
    <w:p w:rsidR="00810E97" w:rsidRDefault="00DD0C8E" w:rsidP="00DD0C8E">
      <w:r w:rsidRPr="00285DCF">
        <w:rPr>
          <w:rFonts w:cs="Times New Roman"/>
          <w:szCs w:val="28"/>
        </w:rPr>
        <w:t xml:space="preserve">Хоча кластери включають ці характеристики, їх реалізація може </w:t>
      </w:r>
      <w:r w:rsidRPr="00285DCF">
        <w:rPr>
          <w:rFonts w:cs="Times New Roman"/>
          <w:szCs w:val="28"/>
        </w:rPr>
        <w:lastRenderedPageBreak/>
        <w:t>приймати різні форми, зображені на рис</w:t>
      </w:r>
      <w:r>
        <w:rPr>
          <w:rFonts w:cs="Times New Roman"/>
          <w:szCs w:val="28"/>
        </w:rPr>
        <w:t>унку</w:t>
      </w:r>
      <w:r w:rsidRPr="00285DCF">
        <w:rPr>
          <w:rFonts w:cs="Times New Roman"/>
          <w:szCs w:val="28"/>
        </w:rPr>
        <w:t>1.</w:t>
      </w:r>
      <w:r>
        <w:rPr>
          <w:rFonts w:cs="Times New Roman"/>
          <w:szCs w:val="28"/>
        </w:rPr>
        <w:t xml:space="preserve"> </w:t>
      </w:r>
    </w:p>
    <w:p w:rsidR="00810E97" w:rsidRDefault="00810E97"/>
    <w:p w:rsidR="00810E97" w:rsidRDefault="00625CAD">
      <w:pPr>
        <w:pStyle w:val="FiguresintheArticle"/>
      </w:pPr>
      <w:r w:rsidRPr="00DD0C8E">
        <w:rPr>
          <w:rFonts w:cs="Times New Roman"/>
          <w:noProof/>
          <w:szCs w:val="28"/>
          <w:lang w:val="ru-RU" w:eastAsia="ru-RU" w:bidi="ar-SA"/>
        </w:rPr>
        <w:drawing>
          <wp:inline distT="0" distB="0" distL="0" distR="0">
            <wp:extent cx="5724525" cy="1981200"/>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24525" cy="1981200"/>
                    </a:xfrm>
                    <a:prstGeom prst="rect">
                      <a:avLst/>
                    </a:prstGeom>
                    <a:noFill/>
                    <a:ln>
                      <a:noFill/>
                    </a:ln>
                  </pic:spPr>
                </pic:pic>
              </a:graphicData>
            </a:graphic>
          </wp:inline>
        </w:drawing>
      </w:r>
    </w:p>
    <w:p w:rsidR="00810E97" w:rsidRPr="00625CAD" w:rsidRDefault="00625CAD">
      <w:pPr>
        <w:pStyle w:val="FigureCaptionsintheArticle"/>
        <w:rPr>
          <w:lang w:val="en-US"/>
        </w:rPr>
      </w:pPr>
      <w:r>
        <w:t xml:space="preserve">Рис 1. </w:t>
      </w:r>
      <w:r w:rsidR="00DD0C8E" w:rsidRPr="00285DCF">
        <w:rPr>
          <w:rFonts w:cs="Times New Roman"/>
          <w:szCs w:val="28"/>
        </w:rPr>
        <w:t>Форми кластерної реалізації</w:t>
      </w:r>
      <w:r>
        <w:rPr>
          <w:rFonts w:cs="Times New Roman"/>
          <w:szCs w:val="28"/>
        </w:rPr>
        <w:t xml:space="preserve"> </w:t>
      </w:r>
      <w:r>
        <w:rPr>
          <w:rFonts w:cs="Times New Roman"/>
          <w:szCs w:val="28"/>
          <w:lang w:val="en-US"/>
        </w:rPr>
        <w:t>[3]</w:t>
      </w:r>
    </w:p>
    <w:p w:rsidR="00810E97" w:rsidRDefault="00810E97"/>
    <w:p w:rsidR="00DD0C8E" w:rsidRPr="00DD0C8E" w:rsidRDefault="00DD0C8E" w:rsidP="00DD0C8E">
      <w:pPr>
        <w:jc w:val="both"/>
        <w:rPr>
          <w:rFonts w:cs="Times New Roman"/>
          <w:szCs w:val="28"/>
        </w:rPr>
      </w:pPr>
      <w:r w:rsidRPr="00DD0C8E">
        <w:rPr>
          <w:rFonts w:cs="Times New Roman"/>
          <w:szCs w:val="28"/>
        </w:rPr>
        <w:t xml:space="preserve">Розвиток індустріальних парків сприяє створенню кластерів конкурентоспроможних виробництв та розширенню виробничих ланцюжків, може сприяти збалансованому економічному розвитку регіонів. Індустріальні парки або створюють підґрунтя для появи індустріального кластеру (в разі, якщо вони існують) або стають дієвим механізмом реалізації потенціалу кластера (якщо уряд зволікав із їхнім запуском).  </w:t>
      </w:r>
    </w:p>
    <w:p w:rsidR="00DD0C8E" w:rsidRPr="00DD0C8E" w:rsidRDefault="00DD0C8E" w:rsidP="00DD0C8E">
      <w:pPr>
        <w:jc w:val="both"/>
        <w:rPr>
          <w:rFonts w:cs="Times New Roman"/>
          <w:szCs w:val="28"/>
        </w:rPr>
      </w:pPr>
      <w:r w:rsidRPr="00DD0C8E">
        <w:rPr>
          <w:rFonts w:cs="Times New Roman"/>
          <w:szCs w:val="28"/>
        </w:rPr>
        <w:t xml:space="preserve">За підходом ЮНІДО (Організація Об'єднаних Націй з промислового розвитку), позитивні ефекти спільного розвитку індустріальних парків по території всієї країни відображаються у наступних п’яти аспектах: </w:t>
      </w:r>
    </w:p>
    <w:p w:rsidR="00DD0C8E" w:rsidRPr="00DD0C8E" w:rsidRDefault="00DD0C8E" w:rsidP="00DD0C8E">
      <w:pPr>
        <w:jc w:val="both"/>
        <w:rPr>
          <w:rFonts w:cs="Times New Roman"/>
          <w:szCs w:val="28"/>
        </w:rPr>
      </w:pPr>
      <w:r w:rsidRPr="00DD0C8E">
        <w:rPr>
          <w:rFonts w:cs="Times New Roman"/>
          <w:szCs w:val="28"/>
        </w:rPr>
        <w:t>1.</w:t>
      </w:r>
      <w:r w:rsidRPr="00DD0C8E">
        <w:rPr>
          <w:rFonts w:cs="Times New Roman"/>
          <w:szCs w:val="28"/>
        </w:rPr>
        <w:tab/>
        <w:t>обмін технологіями та передача через обмін проєктів та спільного навчання;</w:t>
      </w:r>
    </w:p>
    <w:p w:rsidR="00DD0C8E" w:rsidRPr="00DD0C8E" w:rsidRDefault="00DD0C8E" w:rsidP="00DD0C8E">
      <w:pPr>
        <w:jc w:val="both"/>
        <w:rPr>
          <w:rFonts w:cs="Times New Roman"/>
          <w:szCs w:val="28"/>
        </w:rPr>
      </w:pPr>
      <w:r w:rsidRPr="00DD0C8E">
        <w:rPr>
          <w:rFonts w:cs="Times New Roman"/>
          <w:szCs w:val="28"/>
        </w:rPr>
        <w:t>2.</w:t>
      </w:r>
      <w:r w:rsidRPr="00DD0C8E">
        <w:rPr>
          <w:rFonts w:cs="Times New Roman"/>
          <w:szCs w:val="28"/>
        </w:rPr>
        <w:tab/>
        <w:t xml:space="preserve">спільне використання ресурсів шляхом доповнення ресурсів один одного та покращення їх розподілу; </w:t>
      </w:r>
    </w:p>
    <w:p w:rsidR="00DD0C8E" w:rsidRPr="00DD0C8E" w:rsidRDefault="00DD0C8E" w:rsidP="00DD0C8E">
      <w:pPr>
        <w:jc w:val="both"/>
        <w:rPr>
          <w:rFonts w:cs="Times New Roman"/>
          <w:szCs w:val="28"/>
        </w:rPr>
      </w:pPr>
      <w:r w:rsidRPr="00DD0C8E">
        <w:rPr>
          <w:rFonts w:cs="Times New Roman"/>
          <w:szCs w:val="28"/>
        </w:rPr>
        <w:t>3.</w:t>
      </w:r>
      <w:r w:rsidRPr="00DD0C8E">
        <w:rPr>
          <w:rFonts w:cs="Times New Roman"/>
          <w:szCs w:val="28"/>
        </w:rPr>
        <w:tab/>
        <w:t>поділ ринку, дозволяючи компаніям із менш розвинених парків швидко виходити на місцеві ринки передових парків для збільшення частки ринку;</w:t>
      </w:r>
    </w:p>
    <w:p w:rsidR="00DD0C8E" w:rsidRPr="00DD0C8E" w:rsidRDefault="00DD0C8E" w:rsidP="00DD0C8E">
      <w:pPr>
        <w:jc w:val="both"/>
        <w:rPr>
          <w:rFonts w:cs="Times New Roman"/>
          <w:szCs w:val="28"/>
        </w:rPr>
      </w:pPr>
      <w:r w:rsidRPr="00DD0C8E">
        <w:rPr>
          <w:rFonts w:cs="Times New Roman"/>
          <w:szCs w:val="28"/>
        </w:rPr>
        <w:t>4.</w:t>
      </w:r>
      <w:r w:rsidRPr="00DD0C8E">
        <w:rPr>
          <w:rFonts w:cs="Times New Roman"/>
          <w:szCs w:val="28"/>
        </w:rPr>
        <w:tab/>
        <w:t>розвиток людських ресурсів шляхом обміну експертами та організацією тренінгів, які проводяться розвиненими парками для менш розвинених;</w:t>
      </w:r>
    </w:p>
    <w:p w:rsidR="00DD0C8E" w:rsidRPr="00DD0C8E" w:rsidRDefault="00DD0C8E" w:rsidP="00DD0C8E">
      <w:pPr>
        <w:jc w:val="both"/>
        <w:rPr>
          <w:rFonts w:cs="Times New Roman"/>
          <w:szCs w:val="28"/>
        </w:rPr>
      </w:pPr>
      <w:r w:rsidRPr="00DD0C8E">
        <w:rPr>
          <w:rFonts w:cs="Times New Roman"/>
          <w:szCs w:val="28"/>
        </w:rPr>
        <w:t>5.</w:t>
      </w:r>
      <w:r w:rsidRPr="00DD0C8E">
        <w:rPr>
          <w:rFonts w:cs="Times New Roman"/>
          <w:szCs w:val="28"/>
        </w:rPr>
        <w:tab/>
        <w:t xml:space="preserve">розподіл податкових надходжень шляхом поділу відсотків та прибутку на заздалегідь узгоджених умовах. </w:t>
      </w:r>
    </w:p>
    <w:p w:rsidR="00810E97" w:rsidRDefault="00DD0C8E" w:rsidP="00DD0C8E">
      <w:pPr>
        <w:jc w:val="both"/>
        <w:rPr>
          <w:rFonts w:cs="Times New Roman"/>
          <w:szCs w:val="28"/>
        </w:rPr>
      </w:pPr>
      <w:r w:rsidRPr="00DD0C8E">
        <w:rPr>
          <w:rFonts w:cs="Times New Roman"/>
          <w:szCs w:val="28"/>
        </w:rPr>
        <w:t xml:space="preserve">Еко-індустріальні парки (ЕІП) – це група виробничих підприємств та підприємств з надання послуг, розташованих на одній території. Підприємства-учасники прагнуть покращити екологічні, економічні та соціальні показники шляхом спільного управління питаннями, пов'язаними з охороною навколишнього середовища та використанням ресурсів. З огляду на це, дотримання національних та місцевих норм є основою для всіх індустріальних парків, незалежно від географічного положення та специфічних характеристик. Таким чином, ЕІП повинні перевищувати </w:t>
      </w:r>
      <w:r w:rsidRPr="00DD0C8E">
        <w:rPr>
          <w:rFonts w:cs="Times New Roman"/>
          <w:szCs w:val="28"/>
        </w:rPr>
        <w:lastRenderedPageBreak/>
        <w:t>показники відповідності екологічно-соціальним нормам на місцевому та національному рівнях (Рис. 2).</w:t>
      </w:r>
    </w:p>
    <w:p w:rsidR="00DD0C8E" w:rsidRDefault="00625CAD" w:rsidP="00625CAD">
      <w:pPr>
        <w:ind w:firstLine="142"/>
        <w:jc w:val="both"/>
        <w:rPr>
          <w:rFonts w:cs="Times New Roman"/>
          <w:noProof/>
          <w:szCs w:val="28"/>
          <w:lang w:val="ru-RU" w:eastAsia="ru-RU" w:bidi="ar-SA"/>
        </w:rPr>
      </w:pPr>
      <w:r w:rsidRPr="00DD0C8E">
        <w:rPr>
          <w:rFonts w:cs="Times New Roman"/>
          <w:noProof/>
          <w:szCs w:val="28"/>
          <w:lang w:val="ru-RU" w:eastAsia="ru-RU" w:bidi="ar-SA"/>
        </w:rPr>
        <w:drawing>
          <wp:inline distT="0" distB="0" distL="0" distR="0">
            <wp:extent cx="5734050" cy="2181225"/>
            <wp:effectExtent l="0" t="0" r="0"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4050" cy="2181225"/>
                    </a:xfrm>
                    <a:prstGeom prst="rect">
                      <a:avLst/>
                    </a:prstGeom>
                    <a:noFill/>
                    <a:ln>
                      <a:noFill/>
                    </a:ln>
                  </pic:spPr>
                </pic:pic>
              </a:graphicData>
            </a:graphic>
          </wp:inline>
        </w:drawing>
      </w:r>
    </w:p>
    <w:p w:rsidR="00DD0C8E" w:rsidRPr="00625CAD" w:rsidRDefault="00DD0C8E" w:rsidP="00DD0C8E">
      <w:pPr>
        <w:jc w:val="center"/>
        <w:rPr>
          <w:rFonts w:cs="Times New Roman"/>
          <w:noProof/>
          <w:szCs w:val="28"/>
          <w:lang w:val="en-US"/>
        </w:rPr>
      </w:pPr>
      <w:r w:rsidRPr="00285DCF">
        <w:rPr>
          <w:rFonts w:cs="Times New Roman"/>
          <w:szCs w:val="28"/>
        </w:rPr>
        <w:t xml:space="preserve">Рис. 2.  Приклад розташування </w:t>
      </w:r>
      <w:r w:rsidRPr="00285DCF">
        <w:rPr>
          <w:rFonts w:cs="Times New Roman"/>
          <w:noProof/>
          <w:szCs w:val="28"/>
        </w:rPr>
        <w:t>ЕІП</w:t>
      </w:r>
      <w:r w:rsidR="00625CAD">
        <w:rPr>
          <w:rFonts w:cs="Times New Roman"/>
          <w:noProof/>
          <w:szCs w:val="28"/>
          <w:lang w:val="en-US"/>
        </w:rPr>
        <w:t xml:space="preserve"> [2]</w:t>
      </w:r>
    </w:p>
    <w:p w:rsidR="00DD0C8E" w:rsidRDefault="00DD0C8E" w:rsidP="00DD0C8E">
      <w:pPr>
        <w:jc w:val="center"/>
        <w:rPr>
          <w:rFonts w:cs="Times New Roman"/>
          <w:noProof/>
          <w:szCs w:val="28"/>
        </w:rPr>
      </w:pPr>
    </w:p>
    <w:p w:rsidR="00DD0C8E" w:rsidRPr="00285DCF" w:rsidRDefault="00DD0C8E" w:rsidP="00DD0C8E">
      <w:pPr>
        <w:jc w:val="both"/>
        <w:rPr>
          <w:rFonts w:cs="Times New Roman"/>
          <w:szCs w:val="28"/>
        </w:rPr>
      </w:pPr>
      <w:r w:rsidRPr="00285DCF">
        <w:rPr>
          <w:rFonts w:cs="Times New Roman"/>
          <w:szCs w:val="28"/>
        </w:rPr>
        <w:t>Індустріальні парки можуть сприяти стрімкому розвитку за рахунок мобілізації всіх наявних ресурсів.</w:t>
      </w:r>
    </w:p>
    <w:p w:rsidR="00DD0C8E" w:rsidRPr="00285DCF" w:rsidRDefault="00DD0C8E" w:rsidP="00DD0C8E">
      <w:pPr>
        <w:jc w:val="both"/>
        <w:rPr>
          <w:rFonts w:cs="Times New Roman"/>
          <w:szCs w:val="28"/>
        </w:rPr>
      </w:pPr>
      <w:r w:rsidRPr="00285DCF">
        <w:rPr>
          <w:rFonts w:cs="Times New Roman"/>
          <w:szCs w:val="28"/>
        </w:rPr>
        <w:t xml:space="preserve">Індустріальна зона або парк можуть перетворитися на еко-індустріальний парк за рахунок поєднання наступних факторів: </w:t>
      </w:r>
    </w:p>
    <w:p w:rsidR="00DD0C8E" w:rsidRPr="00285DCF" w:rsidRDefault="00DD0C8E" w:rsidP="00DD0C8E">
      <w:pPr>
        <w:pStyle w:val="a8"/>
        <w:widowControl/>
        <w:numPr>
          <w:ilvl w:val="0"/>
          <w:numId w:val="4"/>
        </w:numPr>
        <w:suppressAutoHyphens w:val="0"/>
        <w:spacing w:after="0"/>
        <w:ind w:left="0" w:firstLine="567"/>
        <w:jc w:val="both"/>
        <w:rPr>
          <w:rFonts w:cs="Times New Roman"/>
          <w:szCs w:val="28"/>
        </w:rPr>
      </w:pPr>
      <w:r w:rsidRPr="00285DCF">
        <w:rPr>
          <w:rFonts w:cs="Times New Roman"/>
          <w:szCs w:val="28"/>
        </w:rPr>
        <w:t xml:space="preserve">екологічні та інженерні системи; </w:t>
      </w:r>
    </w:p>
    <w:p w:rsidR="00DD0C8E" w:rsidRPr="00285DCF" w:rsidRDefault="00DD0C8E" w:rsidP="00DD0C8E">
      <w:pPr>
        <w:pStyle w:val="a8"/>
        <w:widowControl/>
        <w:numPr>
          <w:ilvl w:val="0"/>
          <w:numId w:val="4"/>
        </w:numPr>
        <w:suppressAutoHyphens w:val="0"/>
        <w:spacing w:after="0"/>
        <w:ind w:left="0" w:firstLine="567"/>
        <w:jc w:val="both"/>
        <w:rPr>
          <w:rFonts w:cs="Times New Roman"/>
          <w:szCs w:val="28"/>
        </w:rPr>
      </w:pPr>
      <w:r w:rsidRPr="00285DCF">
        <w:rPr>
          <w:rFonts w:cs="Times New Roman"/>
          <w:szCs w:val="28"/>
        </w:rPr>
        <w:t xml:space="preserve">правильне зонування та планування; </w:t>
      </w:r>
    </w:p>
    <w:p w:rsidR="00DD0C8E" w:rsidRPr="00285DCF" w:rsidRDefault="00DD0C8E" w:rsidP="00DD0C8E">
      <w:pPr>
        <w:pStyle w:val="a8"/>
        <w:widowControl/>
        <w:numPr>
          <w:ilvl w:val="0"/>
          <w:numId w:val="4"/>
        </w:numPr>
        <w:suppressAutoHyphens w:val="0"/>
        <w:spacing w:after="0"/>
        <w:ind w:left="0" w:firstLine="567"/>
        <w:jc w:val="both"/>
        <w:rPr>
          <w:rFonts w:cs="Times New Roman"/>
          <w:szCs w:val="28"/>
        </w:rPr>
      </w:pPr>
      <w:r w:rsidRPr="00285DCF">
        <w:rPr>
          <w:rFonts w:cs="Times New Roman"/>
          <w:szCs w:val="28"/>
        </w:rPr>
        <w:t xml:space="preserve">екологічний менеджмент діяльності парку. </w:t>
      </w:r>
    </w:p>
    <w:p w:rsidR="00DD0C8E" w:rsidRPr="00285DCF" w:rsidRDefault="00DD0C8E" w:rsidP="00DD0C8E">
      <w:pPr>
        <w:jc w:val="both"/>
        <w:rPr>
          <w:rFonts w:cs="Times New Roman"/>
          <w:szCs w:val="28"/>
        </w:rPr>
      </w:pPr>
      <w:r w:rsidRPr="00285DCF">
        <w:rPr>
          <w:rFonts w:cs="Times New Roman"/>
          <w:szCs w:val="28"/>
        </w:rPr>
        <w:t>За рахунок цього підсилюється  ефективність на рівні підприємства (у результаті мінімізується утворення відходів та викидів від окремих підприємств);  колективна синергія: призводить до оптимізованого обміну ресурсами між компаніями.</w:t>
      </w:r>
    </w:p>
    <w:p w:rsidR="00DD0C8E" w:rsidRPr="00285DCF" w:rsidRDefault="00DD0C8E" w:rsidP="00DD0C8E">
      <w:pPr>
        <w:jc w:val="both"/>
        <w:rPr>
          <w:rFonts w:cs="Times New Roman"/>
          <w:szCs w:val="28"/>
        </w:rPr>
      </w:pPr>
      <w:r w:rsidRPr="00285DCF">
        <w:rPr>
          <w:rFonts w:cs="Times New Roman"/>
          <w:szCs w:val="28"/>
        </w:rPr>
        <w:t>Кінцева мета полягає в тому, щоб звести майже  до нуля утворення відходів, стічних вод та викидів. За підходом ЮНІДО, термін «еко-індустріальний парк» став загальним терміном для парків, що реалізують колективні екологічні ініціативи при проєктуванні, будівництві та/або поточній експлуатації та управлінні. Водночас існують й альтернативні назви еко-індустріальних парків, таких як: стала економічна зона; низькокарбонова технологічна зона; зелений інвестиційний кластер; циркулярний виробничий парк.</w:t>
      </w:r>
    </w:p>
    <w:p w:rsidR="00DD0C8E" w:rsidRPr="00285DCF" w:rsidRDefault="00DD0C8E" w:rsidP="00DD0C8E">
      <w:pPr>
        <w:jc w:val="both"/>
        <w:rPr>
          <w:rFonts w:cs="Times New Roman"/>
          <w:szCs w:val="28"/>
        </w:rPr>
      </w:pPr>
      <w:r w:rsidRPr="00285DCF">
        <w:rPr>
          <w:rFonts w:cs="Times New Roman"/>
          <w:szCs w:val="28"/>
        </w:rPr>
        <w:t xml:space="preserve">Стейкхолдерами, що беруть участь у створенні або перетворенні кластерів на еко-індустріальний парк, є: </w:t>
      </w:r>
    </w:p>
    <w:p w:rsidR="00DD0C8E" w:rsidRPr="00285DCF" w:rsidRDefault="00DD0C8E" w:rsidP="00DD0C8E">
      <w:pPr>
        <w:pStyle w:val="a8"/>
        <w:widowControl/>
        <w:numPr>
          <w:ilvl w:val="0"/>
          <w:numId w:val="5"/>
        </w:numPr>
        <w:suppressAutoHyphens w:val="0"/>
        <w:spacing w:after="0"/>
        <w:ind w:left="0" w:firstLine="567"/>
        <w:jc w:val="both"/>
        <w:rPr>
          <w:rFonts w:cs="Times New Roman"/>
          <w:szCs w:val="28"/>
        </w:rPr>
      </w:pPr>
      <w:r w:rsidRPr="00285DCF">
        <w:rPr>
          <w:rFonts w:cs="Times New Roman"/>
          <w:szCs w:val="28"/>
        </w:rPr>
        <w:t xml:space="preserve">девелопери та інвестори, приватні або державні, які переважно зацікавлені в економічній віддачі від перетворення землі на промисловий парк і можуть бути стурбовані тим, що дотримання екологічних стандартів для них недоступне через високу вартість технологій; </w:t>
      </w:r>
    </w:p>
    <w:p w:rsidR="00DD0C8E" w:rsidRPr="00285DCF" w:rsidRDefault="00DD0C8E" w:rsidP="00DD0C8E">
      <w:pPr>
        <w:pStyle w:val="a8"/>
        <w:widowControl/>
        <w:numPr>
          <w:ilvl w:val="0"/>
          <w:numId w:val="5"/>
        </w:numPr>
        <w:suppressAutoHyphens w:val="0"/>
        <w:spacing w:after="0"/>
        <w:ind w:left="0" w:firstLine="567"/>
        <w:jc w:val="both"/>
        <w:rPr>
          <w:rFonts w:cs="Times New Roman"/>
          <w:szCs w:val="28"/>
        </w:rPr>
      </w:pPr>
      <w:r w:rsidRPr="00285DCF">
        <w:rPr>
          <w:rFonts w:cs="Times New Roman"/>
          <w:szCs w:val="28"/>
        </w:rPr>
        <w:t>представники уряду, які приймають рішення, та менеджери, відповідальні за встановлення екологічних та промислових стандартів, на</w:t>
      </w:r>
      <w:r w:rsidRPr="00285DCF">
        <w:rPr>
          <w:rFonts w:cs="Times New Roman"/>
          <w:szCs w:val="28"/>
        </w:rPr>
        <w:lastRenderedPageBreak/>
        <w:t xml:space="preserve">дання політичних та інвестиційних стимулів та, таким чином, забезпечення можливості розвитку промисловості в індустріальних парках; </w:t>
      </w:r>
    </w:p>
    <w:p w:rsidR="00DD0C8E" w:rsidRPr="00285DCF" w:rsidRDefault="00DD0C8E" w:rsidP="00DD0C8E">
      <w:pPr>
        <w:pStyle w:val="a8"/>
        <w:widowControl/>
        <w:numPr>
          <w:ilvl w:val="0"/>
          <w:numId w:val="5"/>
        </w:numPr>
        <w:suppressAutoHyphens w:val="0"/>
        <w:spacing w:after="0"/>
        <w:ind w:left="0" w:firstLine="567"/>
        <w:jc w:val="both"/>
        <w:rPr>
          <w:rFonts w:cs="Times New Roman"/>
          <w:szCs w:val="28"/>
        </w:rPr>
      </w:pPr>
      <w:r w:rsidRPr="00285DCF">
        <w:rPr>
          <w:rFonts w:cs="Times New Roman"/>
          <w:szCs w:val="28"/>
        </w:rPr>
        <w:t xml:space="preserve">консультанти з екологічного планування; </w:t>
      </w:r>
    </w:p>
    <w:p w:rsidR="00DD0C8E" w:rsidRPr="00285DCF" w:rsidRDefault="00DD0C8E" w:rsidP="00DD0C8E">
      <w:pPr>
        <w:pStyle w:val="a8"/>
        <w:widowControl/>
        <w:numPr>
          <w:ilvl w:val="0"/>
          <w:numId w:val="5"/>
        </w:numPr>
        <w:suppressAutoHyphens w:val="0"/>
        <w:spacing w:after="0"/>
        <w:ind w:left="0" w:firstLine="567"/>
        <w:jc w:val="both"/>
        <w:rPr>
          <w:rFonts w:cs="Times New Roman"/>
          <w:szCs w:val="28"/>
        </w:rPr>
      </w:pPr>
      <w:r w:rsidRPr="00285DCF">
        <w:rPr>
          <w:rFonts w:cs="Times New Roman"/>
          <w:szCs w:val="28"/>
        </w:rPr>
        <w:t xml:space="preserve">залучена громадськість, зокрема спільноти, безпосередньо задіяні на території індустріального парку; </w:t>
      </w:r>
    </w:p>
    <w:p w:rsidR="00DD0C8E" w:rsidRPr="00285DCF" w:rsidRDefault="00DD0C8E" w:rsidP="00DD0C8E">
      <w:pPr>
        <w:pStyle w:val="a8"/>
        <w:widowControl/>
        <w:numPr>
          <w:ilvl w:val="0"/>
          <w:numId w:val="5"/>
        </w:numPr>
        <w:suppressAutoHyphens w:val="0"/>
        <w:spacing w:after="0"/>
        <w:ind w:left="0" w:firstLine="567"/>
        <w:jc w:val="both"/>
        <w:rPr>
          <w:rFonts w:cs="Times New Roman"/>
          <w:szCs w:val="28"/>
        </w:rPr>
      </w:pPr>
      <w:r w:rsidRPr="00285DCF">
        <w:rPr>
          <w:rFonts w:cs="Times New Roman"/>
          <w:szCs w:val="28"/>
        </w:rPr>
        <w:t xml:space="preserve">міжнародне співтовариство, включаючи двосторонні та багатосторонні агенції з надання допомоги та міжнародні фінансові установи; </w:t>
      </w:r>
    </w:p>
    <w:p w:rsidR="00DD0C8E" w:rsidRPr="00285DCF" w:rsidRDefault="00DD0C8E" w:rsidP="00DD0C8E">
      <w:pPr>
        <w:pStyle w:val="a8"/>
        <w:widowControl/>
        <w:numPr>
          <w:ilvl w:val="0"/>
          <w:numId w:val="5"/>
        </w:numPr>
        <w:suppressAutoHyphens w:val="0"/>
        <w:spacing w:after="0"/>
        <w:ind w:left="0" w:firstLine="567"/>
        <w:jc w:val="both"/>
        <w:rPr>
          <w:rFonts w:cs="Times New Roman"/>
          <w:szCs w:val="28"/>
        </w:rPr>
      </w:pPr>
      <w:r w:rsidRPr="00285DCF">
        <w:rPr>
          <w:rFonts w:cs="Times New Roman"/>
          <w:szCs w:val="28"/>
        </w:rPr>
        <w:t>клієнти, чиї тиск та поінформованість можуть вплинути на осіб, які приймають рішення, та на приватний сектор.</w:t>
      </w:r>
    </w:p>
    <w:p w:rsidR="00DD0C8E" w:rsidRPr="00285DCF" w:rsidRDefault="00DD0C8E" w:rsidP="00DD0C8E">
      <w:pPr>
        <w:jc w:val="both"/>
        <w:rPr>
          <w:rFonts w:cs="Times New Roman"/>
          <w:szCs w:val="28"/>
        </w:rPr>
      </w:pPr>
      <w:r w:rsidRPr="00285DCF">
        <w:rPr>
          <w:rFonts w:cs="Times New Roman"/>
          <w:szCs w:val="28"/>
        </w:rPr>
        <w:t>Бачимо, що “бар’єр складності” може створити більш масштабний розрив між країнами, регіонами і соціальними стратами, ніж всі відомі досі (такі як “цифровий розрив”, глобальна нерівність у доходах або поділ “Північ і Південь”). Поки світові діячи політики і науки навіть не ризикують починати серйозне обговорення цієї проблеми, але вона з усією виразністю постає перед нами вже в найближче десятиліття і виступає актуальною тематикою для проведення подальших досліджень.</w:t>
      </w:r>
    </w:p>
    <w:p w:rsidR="00810E97" w:rsidRDefault="00810E97"/>
    <w:p w:rsidR="00810E97" w:rsidRDefault="00625CAD">
      <w:pPr>
        <w:pStyle w:val="ReferencesHeadingintheArticle"/>
      </w:pPr>
      <w:r>
        <w:t>Література</w:t>
      </w:r>
    </w:p>
    <w:p w:rsidR="006307B9" w:rsidRPr="006307B9" w:rsidRDefault="006307B9" w:rsidP="006307B9">
      <w:pPr>
        <w:pStyle w:val="a8"/>
        <w:numPr>
          <w:ilvl w:val="0"/>
          <w:numId w:val="6"/>
        </w:numPr>
        <w:tabs>
          <w:tab w:val="left" w:pos="851"/>
        </w:tabs>
        <w:ind w:left="0" w:firstLine="567"/>
        <w:jc w:val="both"/>
      </w:pPr>
      <w:r w:rsidRPr="006307B9">
        <w:t>Лаврухіна К.О. Організаційно-економічний механізм формування кластерів будівельних підприємств в інноваційному середовищі: дис. кандидата екон.наук.: 08.00.04. Київ, 2020. 335с.</w:t>
      </w:r>
    </w:p>
    <w:p w:rsidR="006307B9" w:rsidRDefault="006307B9" w:rsidP="006307B9">
      <w:pPr>
        <w:pStyle w:val="a8"/>
        <w:numPr>
          <w:ilvl w:val="0"/>
          <w:numId w:val="6"/>
        </w:numPr>
        <w:tabs>
          <w:tab w:val="left" w:pos="851"/>
        </w:tabs>
        <w:ind w:left="0" w:firstLine="567"/>
        <w:jc w:val="both"/>
      </w:pPr>
      <w:r>
        <w:t>Посібник з використання інструментарію екоіндустріальних парків ЮНІДО URL:https://hub.unido.org/sites/default/files/publications/EIP%20Toolbox%20Manual-en_gb-uk_ua-C.pdf (дата звернення 26.03.2023)</w:t>
      </w:r>
    </w:p>
    <w:p w:rsidR="006307B9" w:rsidRDefault="006307B9" w:rsidP="006307B9">
      <w:pPr>
        <w:pStyle w:val="a8"/>
        <w:numPr>
          <w:ilvl w:val="0"/>
          <w:numId w:val="6"/>
        </w:numPr>
        <w:tabs>
          <w:tab w:val="left" w:pos="851"/>
        </w:tabs>
        <w:ind w:left="0" w:firstLine="567"/>
        <w:jc w:val="both"/>
      </w:pPr>
      <w:r>
        <w:t>Cluster Development Guide URL: https://www.giz.de/en/downloads/giz2021-en-cluster-development-guide.pdf (дата звернення 25.03.2023)</w:t>
      </w:r>
    </w:p>
    <w:p w:rsidR="006307B9" w:rsidRPr="006307B9" w:rsidRDefault="006307B9" w:rsidP="0067489D">
      <w:pPr>
        <w:pStyle w:val="a8"/>
        <w:numPr>
          <w:ilvl w:val="0"/>
          <w:numId w:val="6"/>
        </w:numPr>
        <w:tabs>
          <w:tab w:val="left" w:pos="851"/>
        </w:tabs>
        <w:ind w:left="0" w:firstLine="567"/>
        <w:jc w:val="both"/>
      </w:pPr>
      <w:r w:rsidRPr="006307B9">
        <w:t xml:space="preserve">Kalina, D. Novykov , V. Leszczynski, K. Lavrukhina ,P. Kukhta , V. Nitsenko  (2022) Entrepreneurial structures of the extractive industry: foreign experience in environmental protection. Naukovyi Visnyk Natsionalnoho Hirnychoho Universytetu, 5, 136-141 https://doi.org/10.33271/nvngu/2022-5/136 </w:t>
      </w:r>
    </w:p>
    <w:p w:rsidR="006307B9" w:rsidRDefault="006307B9" w:rsidP="00625CAD">
      <w:pPr>
        <w:pStyle w:val="a8"/>
        <w:tabs>
          <w:tab w:val="left" w:pos="851"/>
        </w:tabs>
        <w:ind w:left="567"/>
        <w:jc w:val="both"/>
      </w:pPr>
      <w:bookmarkStart w:id="0" w:name="_GoBack"/>
      <w:bookmarkEnd w:id="0"/>
    </w:p>
    <w:p w:rsidR="00810E97" w:rsidRDefault="00810E97">
      <w:pPr>
        <w:rPr>
          <w:rFonts w:cs="Times New Roman"/>
          <w:sz w:val="24"/>
        </w:rPr>
      </w:pPr>
    </w:p>
    <w:sectPr w:rsidR="00810E97" w:rsidSect="00DD0C8E">
      <w:pgSz w:w="11906" w:h="16838"/>
      <w:pgMar w:top="1418" w:right="1418" w:bottom="1418" w:left="1418"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01"/>
    <w:family w:val="roman"/>
    <w:pitch w:val="variable"/>
  </w:font>
  <w:font w:name="Noto Serif CJK SC">
    <w:altName w:val="Times New Roman"/>
    <w:panose1 w:val="00000000000000000000"/>
    <w:charset w:val="00"/>
    <w:family w:val="roman"/>
    <w:notTrueType/>
    <w:pitch w:val="default"/>
  </w:font>
  <w:font w:name="Arial Unicode MS">
    <w:altName w:val="Arial"/>
    <w:panose1 w:val="020B0604020202020204"/>
    <w:charset w:val="00"/>
    <w:family w:val="roman"/>
    <w:pitch w:val="variable"/>
    <w:sig w:usb0="00000003" w:usb1="00000000" w:usb2="00000000" w:usb3="00000000" w:csb0="00000001" w:csb1="00000000"/>
  </w:font>
  <w:font w:name="Liberation Sans;Arial">
    <w:panose1 w:val="00000000000000000000"/>
    <w:charset w:val="00"/>
    <w:family w:val="roman"/>
    <w:notTrueType/>
    <w:pitch w:val="default"/>
  </w:font>
  <w:font w:name="Noto Sans CJK SC">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B97151"/>
    <w:multiLevelType w:val="multilevel"/>
    <w:tmpl w:val="09D81438"/>
    <w:lvl w:ilvl="0">
      <w:start w:val="1"/>
      <w:numFmt w:val="decimal"/>
      <w:pStyle w:val="ReferencesintheArticle"/>
      <w:suff w:val="space"/>
      <w:lvlText w:val="%1."/>
      <w:lvlJc w:val="left"/>
      <w:pPr>
        <w:tabs>
          <w:tab w:val="num" w:pos="0"/>
        </w:tabs>
        <w:ind w:left="0" w:firstLine="567"/>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7C1750D"/>
    <w:multiLevelType w:val="multilevel"/>
    <w:tmpl w:val="7A6CF77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1A1D106B"/>
    <w:multiLevelType w:val="hybridMultilevel"/>
    <w:tmpl w:val="31CE3AF4"/>
    <w:lvl w:ilvl="0" w:tplc="0419000D">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 w15:restartNumberingAfterBreak="0">
    <w:nsid w:val="5DD5043A"/>
    <w:multiLevelType w:val="hybridMultilevel"/>
    <w:tmpl w:val="A524CDC6"/>
    <w:lvl w:ilvl="0" w:tplc="0419000D">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4" w15:restartNumberingAfterBreak="0">
    <w:nsid w:val="6F3177D0"/>
    <w:multiLevelType w:val="hybridMultilevel"/>
    <w:tmpl w:val="6928A3B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15:restartNumberingAfterBreak="0">
    <w:nsid w:val="77362A51"/>
    <w:multiLevelType w:val="hybridMultilevel"/>
    <w:tmpl w:val="3744854E"/>
    <w:lvl w:ilvl="0" w:tplc="0419000D">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num w:numId="1">
    <w:abstractNumId w:val="0"/>
  </w:num>
  <w:num w:numId="2">
    <w:abstractNumId w:val="1"/>
  </w:num>
  <w:num w:numId="3">
    <w:abstractNumId w:val="2"/>
  </w:num>
  <w:num w:numId="4">
    <w:abstractNumId w:val="5"/>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E97"/>
    <w:rsid w:val="00625CAD"/>
    <w:rsid w:val="006307B9"/>
    <w:rsid w:val="0067489D"/>
    <w:rsid w:val="00810E97"/>
    <w:rsid w:val="00DD0C8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E12B8"/>
  <w15:docId w15:val="{F0A978E4-D9F7-43B5-A28B-A75C88D7D5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erif CJK SC" w:hAnsi="Liberation Serif" w:cs="Arial Unicode MS"/>
        <w:sz w:val="24"/>
        <w:szCs w:val="24"/>
        <w:lang w:val="uk-UA"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ind w:firstLine="567"/>
    </w:pPr>
    <w:rPr>
      <w:rFonts w:ascii="Times New Roman" w:hAnsi="Times New Roman"/>
      <w:kern w:val="2"/>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4"/>
    <w:qFormat/>
    <w:pPr>
      <w:keepNext/>
      <w:spacing w:before="240" w:after="120"/>
    </w:pPr>
    <w:rPr>
      <w:rFonts w:ascii="Liberation Sans;Arial" w:eastAsia="Noto Sans CJK SC" w:hAnsi="Liberation Sans;Arial"/>
      <w:szCs w:val="28"/>
    </w:rPr>
  </w:style>
  <w:style w:type="paragraph" w:styleId="a4">
    <w:name w:val="Body Text"/>
    <w:basedOn w:val="a"/>
    <w:pPr>
      <w:spacing w:after="140" w:line="276" w:lineRule="auto"/>
    </w:pPr>
  </w:style>
  <w:style w:type="paragraph" w:styleId="a5">
    <w:name w:val="List"/>
    <w:basedOn w:val="a4"/>
  </w:style>
  <w:style w:type="paragraph" w:styleId="a6">
    <w:name w:val="caption"/>
    <w:basedOn w:val="a"/>
    <w:qFormat/>
    <w:pPr>
      <w:suppressLineNumbers/>
      <w:spacing w:before="120" w:after="120"/>
    </w:pPr>
    <w:rPr>
      <w:i/>
      <w:iCs/>
      <w:sz w:val="24"/>
    </w:rPr>
  </w:style>
  <w:style w:type="paragraph" w:customStyle="1" w:styleId="a7">
    <w:name w:val="Покажчик"/>
    <w:basedOn w:val="a"/>
    <w:qFormat/>
    <w:pPr>
      <w:suppressLineNumbers/>
    </w:pPr>
  </w:style>
  <w:style w:type="paragraph" w:styleId="a8">
    <w:name w:val="List Paragraph"/>
    <w:basedOn w:val="a"/>
    <w:uiPriority w:val="34"/>
    <w:qFormat/>
    <w:pPr>
      <w:spacing w:after="160"/>
      <w:ind w:left="720" w:firstLine="0"/>
      <w:contextualSpacing/>
    </w:pPr>
  </w:style>
  <w:style w:type="paragraph" w:customStyle="1" w:styleId="HeadingoftheArticle">
    <w:name w:val="Heading of the Article"/>
    <w:basedOn w:val="a"/>
    <w:next w:val="AuthorsoftheArticle"/>
    <w:qFormat/>
    <w:pPr>
      <w:keepNext/>
      <w:keepLines/>
      <w:pageBreakBefore/>
      <w:ind w:firstLine="0"/>
      <w:jc w:val="center"/>
      <w:outlineLvl w:val="0"/>
    </w:pPr>
    <w:rPr>
      <w:rFonts w:cs="Times New Roman"/>
      <w:b/>
      <w:caps/>
    </w:rPr>
  </w:style>
  <w:style w:type="paragraph" w:customStyle="1" w:styleId="AuthorsoftheArticle">
    <w:name w:val="Authors of the Article"/>
    <w:basedOn w:val="a"/>
    <w:next w:val="AffiliationsofthetheArticleAuthors"/>
    <w:qFormat/>
    <w:pPr>
      <w:keepNext/>
      <w:keepLines/>
      <w:ind w:firstLine="0"/>
      <w:jc w:val="center"/>
    </w:pPr>
    <w:rPr>
      <w:b/>
      <w:i/>
    </w:rPr>
  </w:style>
  <w:style w:type="paragraph" w:customStyle="1" w:styleId="AffiliationsofthetheArticleAuthors">
    <w:name w:val="Affiliations of the the Article Authors"/>
    <w:basedOn w:val="a"/>
    <w:qFormat/>
    <w:pPr>
      <w:keepNext/>
      <w:keepLines/>
      <w:jc w:val="center"/>
    </w:pPr>
    <w:rPr>
      <w:i/>
    </w:rPr>
  </w:style>
  <w:style w:type="paragraph" w:customStyle="1" w:styleId="FiguresintheArticle">
    <w:name w:val="Figures in the Article"/>
    <w:basedOn w:val="a"/>
    <w:next w:val="FigureCaptionsintheArticle"/>
    <w:qFormat/>
    <w:pPr>
      <w:keepNext/>
      <w:keepLines/>
      <w:ind w:firstLine="0"/>
      <w:jc w:val="center"/>
    </w:pPr>
  </w:style>
  <w:style w:type="paragraph" w:customStyle="1" w:styleId="FigureCaptionsintheArticle">
    <w:name w:val="Figure Captions in the Article"/>
    <w:basedOn w:val="a"/>
    <w:next w:val="a"/>
    <w:qFormat/>
    <w:pPr>
      <w:keepLines/>
      <w:ind w:firstLine="0"/>
      <w:jc w:val="center"/>
    </w:pPr>
  </w:style>
  <w:style w:type="paragraph" w:customStyle="1" w:styleId="TableNumbersintheArticle">
    <w:name w:val="Table Numbers in the Article"/>
    <w:basedOn w:val="a"/>
    <w:next w:val="TableCaptionsintheArticle"/>
    <w:qFormat/>
    <w:pPr>
      <w:keepNext/>
      <w:keepLines/>
      <w:ind w:firstLine="0"/>
      <w:jc w:val="right"/>
    </w:pPr>
    <w:rPr>
      <w:i/>
    </w:rPr>
  </w:style>
  <w:style w:type="paragraph" w:customStyle="1" w:styleId="TableCaptionsintheArticle">
    <w:name w:val="Table Captions in the Article"/>
    <w:basedOn w:val="a"/>
    <w:next w:val="TableHeadingsintheArticle"/>
    <w:qFormat/>
    <w:pPr>
      <w:keepNext/>
      <w:keepLines/>
      <w:jc w:val="center"/>
    </w:pPr>
    <w:rPr>
      <w:b/>
    </w:rPr>
  </w:style>
  <w:style w:type="paragraph" w:customStyle="1" w:styleId="TableHeadingsintheArticle">
    <w:name w:val="Table Headings in the Article"/>
    <w:basedOn w:val="a"/>
    <w:qFormat/>
    <w:pPr>
      <w:keepNext/>
      <w:keepLines/>
      <w:ind w:firstLine="0"/>
      <w:jc w:val="center"/>
    </w:pPr>
    <w:rPr>
      <w:b/>
      <w:sz w:val="24"/>
    </w:rPr>
  </w:style>
  <w:style w:type="paragraph" w:customStyle="1" w:styleId="a9">
    <w:name w:val="Вміст таблиці"/>
    <w:basedOn w:val="a"/>
    <w:qFormat/>
    <w:pPr>
      <w:suppressLineNumbers/>
    </w:pPr>
  </w:style>
  <w:style w:type="paragraph" w:customStyle="1" w:styleId="aa">
    <w:name w:val="Заголовок таблиці"/>
    <w:basedOn w:val="a9"/>
    <w:qFormat/>
    <w:pPr>
      <w:jc w:val="center"/>
    </w:pPr>
    <w:rPr>
      <w:b/>
      <w:bCs/>
    </w:rPr>
  </w:style>
  <w:style w:type="paragraph" w:customStyle="1" w:styleId="TableContentintheArticle">
    <w:name w:val="Table Content in the Article"/>
    <w:basedOn w:val="a"/>
    <w:qFormat/>
    <w:pPr>
      <w:ind w:firstLine="0"/>
      <w:jc w:val="center"/>
    </w:pPr>
    <w:rPr>
      <w:sz w:val="24"/>
    </w:rPr>
  </w:style>
  <w:style w:type="paragraph" w:customStyle="1" w:styleId="ReferencesHeadingintheArticle">
    <w:name w:val="References Heading in the Article"/>
    <w:basedOn w:val="a"/>
    <w:qFormat/>
    <w:pPr>
      <w:keepNext/>
      <w:keepLines/>
      <w:ind w:firstLine="0"/>
      <w:jc w:val="center"/>
    </w:pPr>
    <w:rPr>
      <w:b/>
      <w:caps/>
    </w:rPr>
  </w:style>
  <w:style w:type="paragraph" w:customStyle="1" w:styleId="ReferencesintheArticle">
    <w:name w:val="References in the Article"/>
    <w:basedOn w:val="a"/>
    <w:qFormat/>
    <w:pPr>
      <w:numPr>
        <w:numId w:val="1"/>
      </w:numPr>
      <w:jc w:val="both"/>
    </w:pPr>
  </w:style>
  <w:style w:type="numbering" w:customStyle="1" w:styleId="WW8Num1">
    <w:name w:val="WW8Num1"/>
    <w:qFormat/>
  </w:style>
  <w:style w:type="numbering" w:customStyle="1" w:styleId="WW8Num2">
    <w:name w:val="WW8Num2"/>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1141</Words>
  <Characters>6505</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dc:description/>
  <cp:lastModifiedBy>Пользователь Windows</cp:lastModifiedBy>
  <cp:revision>2</cp:revision>
  <dcterms:created xsi:type="dcterms:W3CDTF">2023-03-27T20:05:00Z</dcterms:created>
  <dcterms:modified xsi:type="dcterms:W3CDTF">2023-03-27T20:05:00Z</dcterms:modified>
  <dc:language>uk-UA</dc:language>
</cp:coreProperties>
</file>