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08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442</w:t>
      </w:r>
    </w:p>
    <w:p>
      <w:pPr>
        <w:pStyle w:val="Style7"/>
        <w:keepNext w:val="0"/>
        <w:keepLines w:val="0"/>
        <w:framePr w:wrap="none" w:vAnchor="page" w:hAnchor="page" w:x="2283" w:y="7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</w:rPr>
        <w:t>6. 2011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tabs>
          <w:tab w:pos="7328" w:val="left"/>
        </w:tabs>
        <w:bidi w:val="0"/>
        <w:spacing w:before="0" w:after="0"/>
        <w:ind w:left="0" w:right="0" w:firstLine="320"/>
        <w:jc w:val="both"/>
      </w:pPr>
      <w:r>
        <w:rPr>
          <w:color w:val="000000"/>
          <w:spacing w:val="0"/>
          <w:w w:val="100"/>
          <w:position w:val="0"/>
        </w:rPr>
        <w:t>УДК 727. З</w:t>
        <w:tab/>
      </w:r>
      <w:r>
        <w:rPr>
          <w:b/>
          <w:bCs/>
          <w:color w:val="000000"/>
          <w:spacing w:val="0"/>
          <w:w w:val="100"/>
          <w:position w:val="0"/>
        </w:rPr>
        <w:t>Эмамианфар Али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340" w:line="269" w:lineRule="auto"/>
        <w:ind w:left="0" w:right="0" w:firstLine="0"/>
        <w:jc w:val="right"/>
        <w:rPr>
          <w:sz w:val="28"/>
          <w:szCs w:val="28"/>
        </w:rPr>
      </w:pP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аспирант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каф.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ДАС,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КНУБА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340" w:line="288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ВЫСШИЕ УЧЕБНЫЕ ЗАВЕДЕНИЯ АРХИТЕКТУРНО</w:t>
      </w:r>
      <w:r>
        <w:rPr>
          <w:b/>
          <w:bCs/>
          <w:color w:val="000000"/>
          <w:spacing w:val="0"/>
          <w:w w:val="100"/>
          <w:position w:val="0"/>
        </w:rPr>
        <w:t>-</w:t>
        <w:br/>
      </w:r>
      <w:r>
        <w:rPr>
          <w:b/>
          <w:bCs/>
          <w:color w:val="000000"/>
          <w:spacing w:val="0"/>
          <w:w w:val="100"/>
          <w:position w:val="0"/>
        </w:rPr>
        <w:t>СТРОИТЕЛЬНОГО ПРОФИЛЯ В ИРАНЕ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0" w:line="293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Аннотация :</w:t>
      </w:r>
      <w:r>
        <w:rPr>
          <w:color w:val="000000"/>
          <w:spacing w:val="0"/>
          <w:w w:val="100"/>
          <w:position w:val="0"/>
        </w:rPr>
        <w:t xml:space="preserve"> в статье рассмотрены размещение, функциональные схемы, архитектурные решения высших учебных заведений архитектурно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строительного профиля в Иране .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340" w:line="293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</w:rPr>
        <w:t xml:space="preserve"> : высшее учебное заведение, многопрофильный университет,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строительный факультет .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 xml:space="preserve">Современные темпы интенсивного развития экономики Ирана проявляются в том , что страна все чаще занимает передовые позиции в регионе : по промышленному производству, сельскохозяйственному экспорту, машиностроению, легкой промышленности и в строительной индустрии . Наметилось явное противоречие между существующим состоянием устаревшей </w:t>
      </w:r>
      <w:r>
        <w:rPr>
          <w:color w:val="000000"/>
          <w:spacing w:val="0"/>
          <w:w w:val="100"/>
          <w:position w:val="0"/>
        </w:rPr>
        <w:t>проектно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строительной базы страны и все возрастающими потребностями отечественных потребителей к уровню и качеству жизни , а следовательно - и к более высокому современному уровню архитектурной среды , к комплексному формированию искусственной среды обитания .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Но , чтобы формировать такую среду грамотно , необходимо постоянно приглашать высококвалифицированных зарубежных специалистов, готовить молодежь за рубежом , или формировать отечественную сеть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softHyphen/>
      </w:r>
      <w:r>
        <w:rPr>
          <w:color w:val="000000"/>
          <w:spacing w:val="0"/>
          <w:w w:val="100"/>
          <w:position w:val="0"/>
        </w:rPr>
        <w:t>строительных вузов , которые существенно поднимут уровень подготовки иранских инженеров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строителей , архитекторов и многих других профессионалов в данной отрасли .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Поскольку в Иране на сегодняшний день практически отсутствуют специализированные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строительные университеты , а факультеты этого профиля обучения при разных вузах страны имеют довольно неразвитую материальную базу, что влияет на уровень подготовки специалистов, то назревает острая необходимость в комплексном формировании сети подобных учебных заведений и разработке рекомендаций по проектированию их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планировочных решений .</w:t>
      </w:r>
    </w:p>
    <w:p>
      <w:pPr>
        <w:pStyle w:val="Style11"/>
        <w:keepNext w:val="0"/>
        <w:keepLines w:val="0"/>
        <w:framePr w:w="9701" w:h="14074" w:hRule="exact" w:wrap="none" w:vAnchor="page" w:hAnchor="page" w:x="1073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Именно образование является основой прогресса в любой отдельно взятой стране, а капиталовложения в подготовку молодых специалистов являются самыми надежными долгосрочными инвестициями . Невозможно представить себе современное динамично развивающееся государство без большого количества высококвалифицированных специалистов в области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85" w:y="7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1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443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науки </w:t>
      </w:r>
      <w:r>
        <w:rPr>
          <w:color w:val="000000"/>
          <w:spacing w:val="0"/>
          <w:w w:val="100"/>
          <w:position w:val="0"/>
        </w:rPr>
        <w:t xml:space="preserve">и техники, медицины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культуры , строительства, современных технологий, прогрессивных нанотехнологий и других отраслей народного хозяйства.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Особое место здесь необходимо отвести образованию в области архитектуры и строительства, потому что выпускники именно строительных учебных заведений не только создают материальные ценности , но и являются творцами окружающей среды больших городов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мегаполисов, создателями неповторимых архитектурных ансамблей . Именно поэтому специалисты подобных профессий сами должны учиться в зданиях и комплексах с наилучшим образом организованными функционально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планировочными и объемно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пространственными решениями . Специфика обучения в современных средних специальных учебных заведениях, строительных техникумах и вузах предусматривает определенные особенности их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планировочной организации .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классификации современных высших учебных заведений в большинстве случаев закладывается их профильность (специализация) и величина (по вместимости учащихся) , за исключением университетов и политехнических институтов, которые являются многопрофильными . В Иране насчитывается около 3 0 подобных многопрофильных (полифункциональных) университетов, в структуру которых входят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строительные факультеты . Можно выделить пять основных профильных университетов со специфической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строительной специализацией .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Не вызывает сомнений , что для удовлетворения растущих требований и нужд строительной отрасли необходимо обеспечить достаточное количество высококвалифицированных дипломированных специалистов, готовых приступить к работе сразу же после окончания института . Социальное развитие общества, прогресс науки и техники требуют постоянного усовершенствования высшего образования, открытия новых учебных заведений , модернизации действующих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Такие факторы, как потребность повышения конкуренте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способности отечественной строительной отрасли , недостаточная вместимость и моральное устаревание существующих высших учебных заведений указывают на потребность в строительстве новых учебных зданий и комплексов и модернизации существующих , главными задачами которых являются :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numPr>
          <w:ilvl w:val="0"/>
          <w:numId w:val="1"/>
        </w:numPr>
        <w:shd w:val="clear" w:color="auto" w:fill="auto"/>
        <w:tabs>
          <w:tab w:pos="932" w:val="left"/>
        </w:tabs>
        <w:bidi w:val="0"/>
        <w:spacing w:before="0" w:after="0" w:line="276" w:lineRule="auto"/>
        <w:ind w:left="0" w:right="0" w:firstLine="74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>подготовка квалифицированных специалистов , конкурентоспособных на рынке труда , переподготовка и повышение их квалификации ;</w:t>
      </w:r>
    </w:p>
    <w:p>
      <w:pPr>
        <w:pStyle w:val="Style11"/>
        <w:keepNext w:val="0"/>
        <w:keepLines w:val="0"/>
        <w:framePr w:w="9696" w:h="13694" w:hRule="exact" w:wrap="none" w:vAnchor="page" w:hAnchor="page" w:x="1076" w:y="1456"/>
        <w:widowControl w:val="0"/>
        <w:numPr>
          <w:ilvl w:val="0"/>
          <w:numId w:val="1"/>
        </w:numPr>
        <w:shd w:val="clear" w:color="auto" w:fill="auto"/>
        <w:tabs>
          <w:tab w:pos="932" w:val="left"/>
        </w:tabs>
        <w:bidi w:val="0"/>
        <w:spacing w:before="0" w:after="0" w:line="276" w:lineRule="auto"/>
        <w:ind w:left="0" w:right="0" w:firstLine="74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>развитие творческих, духовных и физических возможностей личности , формирование прочных основ нравственности и здорового образа жизни ;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24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444</w:t>
      </w:r>
    </w:p>
    <w:p>
      <w:pPr>
        <w:pStyle w:val="Style7"/>
        <w:keepNext w:val="0"/>
        <w:keepLines w:val="0"/>
        <w:framePr w:wrap="none" w:vAnchor="page" w:hAnchor="page" w:x="2324" w:y="7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</w:rPr>
        <w:t>6. 2011</w:t>
      </w:r>
    </w:p>
    <w:p>
      <w:pPr>
        <w:pStyle w:val="Style11"/>
        <w:keepNext w:val="0"/>
        <w:keepLines w:val="0"/>
        <w:framePr w:w="9773" w:h="3629" w:hRule="exact" w:wrap="none" w:vAnchor="page" w:hAnchor="page" w:x="1037" w:y="1451"/>
        <w:widowControl w:val="0"/>
        <w:numPr>
          <w:ilvl w:val="0"/>
          <w:numId w:val="1"/>
        </w:numPr>
        <w:shd w:val="clear" w:color="auto" w:fill="auto"/>
        <w:tabs>
          <w:tab w:pos="1025" w:val="left"/>
        </w:tabs>
        <w:bidi w:val="0"/>
        <w:spacing w:before="0" w:after="0" w:line="276" w:lineRule="auto"/>
        <w:ind w:left="0" w:right="0" w:firstLine="82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>приобщение к достижениям мировой и отечественной культуры, изучение истории , обычаев и иранских традиций ;</w:t>
      </w:r>
    </w:p>
    <w:p>
      <w:pPr>
        <w:pStyle w:val="Style11"/>
        <w:keepNext w:val="0"/>
        <w:keepLines w:val="0"/>
        <w:framePr w:w="9773" w:h="3629" w:hRule="exact" w:wrap="none" w:vAnchor="page" w:hAnchor="page" w:x="1037" w:y="1451"/>
        <w:widowControl w:val="0"/>
        <w:numPr>
          <w:ilvl w:val="0"/>
          <w:numId w:val="1"/>
        </w:numPr>
        <w:shd w:val="clear" w:color="auto" w:fill="auto"/>
        <w:tabs>
          <w:tab w:pos="1025" w:val="left"/>
        </w:tabs>
        <w:bidi w:val="0"/>
        <w:spacing w:before="0" w:after="0" w:line="276" w:lineRule="auto"/>
        <w:ind w:left="0" w:right="0" w:firstLine="82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внедрение новых технологий обучения, информатизация высшего профессионального образования, выход на международные глобальные коммуникационные сети</w:t>
      </w:r>
    </w:p>
    <w:p>
      <w:pPr>
        <w:pStyle w:val="Style11"/>
        <w:keepNext w:val="0"/>
        <w:keepLines w:val="0"/>
        <w:framePr w:w="9773" w:h="3629" w:hRule="exact" w:wrap="none" w:vAnchor="page" w:hAnchor="page" w:x="1037" w:y="1451"/>
        <w:widowControl w:val="0"/>
        <w:shd w:val="clear" w:color="auto" w:fill="auto"/>
        <w:bidi w:val="0"/>
        <w:spacing w:before="0" w:after="0" w:line="288" w:lineRule="auto"/>
        <w:ind w:left="0" w:right="0" w:firstLine="820"/>
        <w:jc w:val="both"/>
      </w:pPr>
      <w:r>
        <w:rPr>
          <w:color w:val="000000"/>
          <w:spacing w:val="0"/>
          <w:w w:val="100"/>
          <w:position w:val="0"/>
        </w:rPr>
        <w:t>Несмотря на то, что проблематика проектирования и строительства учебных зданий широко изучалась в мире с различных исследовательских позиций, существующие теоретические и практические наработки не всегда возможно применить к сложным климатическим условиям Ирана и широкому использованию традиций местного зодчества .</w:t>
      </w:r>
    </w:p>
    <w:p>
      <w:pPr>
        <w:framePr w:wrap="none" w:vAnchor="page" w:hAnchor="page" w:x="1037" w:y="5407"/>
        <w:widowControl w:val="0"/>
        <w:rPr>
          <w:sz w:val="2"/>
          <w:szCs w:val="2"/>
        </w:rPr>
      </w:pPr>
      <w:r>
        <w:drawing>
          <wp:inline>
            <wp:extent cx="6132830" cy="176784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6132830" cy="176784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framePr w:wrap="none" w:vAnchor="page" w:hAnchor="page" w:x="1042" w:y="9074"/>
        <w:widowControl w:val="0"/>
        <w:rPr>
          <w:sz w:val="2"/>
          <w:szCs w:val="2"/>
        </w:rPr>
      </w:pPr>
      <w:r>
        <w:drawing>
          <wp:inline>
            <wp:extent cx="4468495" cy="2639695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4468495" cy="263969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8"/>
        <w:keepNext w:val="0"/>
        <w:keepLines w:val="0"/>
        <w:framePr w:w="9773" w:h="744" w:hRule="exact" w:wrap="none" w:vAnchor="page" w:hAnchor="page" w:x="1037" w:y="14013"/>
        <w:widowControl w:val="0"/>
        <w:shd w:val="clear" w:color="auto" w:fill="auto"/>
        <w:bidi w:val="0"/>
        <w:spacing w:before="0" w:after="0" w:line="32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Рис . 1 . Примеры размещения архитектурно</w:t>
      </w:r>
      <w:r>
        <w:rPr>
          <w:color w:val="000000"/>
          <w:spacing w:val="0"/>
          <w:w w:val="100"/>
          <w:position w:val="0"/>
          <w:sz w:val="24"/>
          <w:szCs w:val="24"/>
        </w:rPr>
        <w:t>-</w:t>
      </w:r>
      <w:r>
        <w:rPr>
          <w:color w:val="000000"/>
          <w:spacing w:val="0"/>
          <w:w w:val="100"/>
          <w:position w:val="0"/>
        </w:rPr>
        <w:t>строительных факультетов в структуре многопрофильных университетов Ирана : а - Университет Шахид Бахонар в г . Керман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83" w:y="7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08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445</w:t>
      </w:r>
    </w:p>
    <w:p>
      <w:pPr>
        <w:framePr w:wrap="none" w:vAnchor="page" w:hAnchor="page" w:x="1044" w:y="1427"/>
        <w:widowControl w:val="0"/>
        <w:rPr>
          <w:sz w:val="2"/>
          <w:szCs w:val="2"/>
        </w:rPr>
      </w:pPr>
      <w:r>
        <w:drawing>
          <wp:inline>
            <wp:extent cx="4102735" cy="2103120"/>
            <wp:docPr id="3" name="Picutr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4102735" cy="21031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framePr w:wrap="none" w:vAnchor="page" w:hAnchor="page" w:x="1020" w:y="4912"/>
        <w:widowControl w:val="0"/>
        <w:rPr>
          <w:sz w:val="2"/>
          <w:szCs w:val="2"/>
        </w:rPr>
      </w:pPr>
      <w:r>
        <w:drawing>
          <wp:inline>
            <wp:extent cx="4230370" cy="2602865"/>
            <wp:docPr id="4" name="Picutre 4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4230370" cy="260286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1"/>
        <w:keepNext w:val="0"/>
        <w:keepLines w:val="0"/>
        <w:framePr w:wrap="none" w:vAnchor="page" w:hAnchor="page" w:x="1779" w:y="9088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А</w:t>
      </w:r>
    </w:p>
    <w:p>
      <w:pPr>
        <w:framePr w:wrap="none" w:vAnchor="page" w:hAnchor="page" w:x="1020" w:y="9741"/>
        <w:widowControl w:val="0"/>
        <w:rPr>
          <w:sz w:val="2"/>
          <w:szCs w:val="2"/>
        </w:rPr>
      </w:pPr>
      <w:r>
        <w:drawing>
          <wp:inline>
            <wp:extent cx="2694305" cy="1847215"/>
            <wp:docPr id="5" name="Picutre 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3"/>
                    <a:stretch/>
                  </pic:blipFill>
                  <pic:spPr>
                    <a:xfrm>
                      <a:ext cx="2694305" cy="184721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framePr w:wrap="none" w:vAnchor="page" w:hAnchor="page" w:x="5984" w:y="9736"/>
        <w:widowControl w:val="0"/>
        <w:rPr>
          <w:sz w:val="2"/>
          <w:szCs w:val="2"/>
        </w:rPr>
      </w:pPr>
      <w:r>
        <w:drawing>
          <wp:inline>
            <wp:extent cx="3096895" cy="1822450"/>
            <wp:docPr id="6" name="Picutre 6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5"/>
                    <a:stretch/>
                  </pic:blipFill>
                  <pic:spPr>
                    <a:xfrm>
                      <a:ext cx="3096895" cy="182245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3"/>
        <w:keepNext w:val="0"/>
        <w:keepLines w:val="0"/>
        <w:framePr w:wrap="none" w:vAnchor="page" w:hAnchor="page" w:x="1784" w:y="1307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2"/>
          <w:szCs w:val="22"/>
        </w:rPr>
        <w:t>Б</w:t>
      </w:r>
    </w:p>
    <w:p>
      <w:pPr>
        <w:pStyle w:val="Style18"/>
        <w:keepNext w:val="0"/>
        <w:keepLines w:val="0"/>
        <w:framePr w:w="9691" w:h="1109" w:hRule="exact" w:wrap="none" w:vAnchor="page" w:hAnchor="page" w:x="1078" w:y="13787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Рис . 2 . </w:t>
      </w:r>
      <w:r>
        <w:rPr>
          <w:color w:val="000000"/>
          <w:spacing w:val="0"/>
          <w:w w:val="100"/>
          <w:position w:val="0"/>
        </w:rPr>
        <w:t>Примеры размещения университетов архитектурно</w:t>
      </w:r>
      <w:r>
        <w:rPr>
          <w:color w:val="000000"/>
          <w:spacing w:val="0"/>
          <w:w w:val="100"/>
          <w:position w:val="0"/>
          <w:sz w:val="24"/>
          <w:szCs w:val="24"/>
        </w:rPr>
        <w:t>-</w:t>
      </w:r>
      <w:r>
        <w:rPr>
          <w:color w:val="000000"/>
          <w:spacing w:val="0"/>
          <w:w w:val="100"/>
          <w:position w:val="0"/>
        </w:rPr>
        <w:t xml:space="preserve">строительного профиля в исторических зданиях : а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Университет архитектуры и искусств в г . Йезд , б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</w:rPr>
        <w:t>Университет архитектуры и искусств в г . Исфахан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20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446</w:t>
      </w:r>
    </w:p>
    <w:p>
      <w:pPr>
        <w:pStyle w:val="Style7"/>
        <w:keepNext w:val="0"/>
        <w:keepLines w:val="0"/>
        <w:framePr w:wrap="none" w:vAnchor="page" w:hAnchor="page" w:x="2400" w:y="7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</w:rPr>
        <w:t>6. 2011</w:t>
      </w:r>
    </w:p>
    <w:p>
      <w:pPr>
        <w:framePr w:wrap="none" w:vAnchor="page" w:hAnchor="page" w:x="1493" w:y="1519"/>
        <w:widowControl w:val="0"/>
        <w:rPr>
          <w:sz w:val="2"/>
          <w:szCs w:val="2"/>
        </w:rPr>
      </w:pPr>
      <w:r>
        <w:drawing>
          <wp:inline>
            <wp:extent cx="5767070" cy="3615055"/>
            <wp:docPr id="7" name="Picutre 7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7"/>
                    <a:stretch/>
                  </pic:blipFill>
                  <pic:spPr>
                    <a:xfrm>
                      <a:ext cx="5767070" cy="361505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6"/>
        <w:keepNext w:val="0"/>
        <w:keepLines w:val="0"/>
        <w:framePr w:wrap="none" w:vAnchor="page" w:hAnchor="page" w:x="1834" w:y="725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Количеств</w:t>
      </w:r>
      <w:r>
        <w:rPr>
          <w:color w:val="000000"/>
          <w:spacing w:val="0"/>
          <w:w w:val="100"/>
          <w:position w:val="0"/>
          <w:u w:val="none"/>
        </w:rPr>
        <w:t>о ст</w:t>
      </w:r>
      <w:r>
        <w:rPr>
          <w:color w:val="000000"/>
          <w:spacing w:val="0"/>
          <w:w w:val="100"/>
          <w:position w:val="0"/>
        </w:rPr>
        <w:t xml:space="preserve">удентов </w:t>
      </w:r>
      <w:r>
        <w:rPr>
          <w:color w:val="000000"/>
          <w:spacing w:val="0"/>
          <w:w w:val="100"/>
          <w:position w:val="0"/>
        </w:rPr>
        <w:t xml:space="preserve">на факультетах </w:t>
      </w:r>
      <w:r>
        <w:rPr>
          <w:color w:val="000000"/>
          <w:spacing w:val="0"/>
          <w:w w:val="100"/>
          <w:position w:val="0"/>
        </w:rPr>
        <w:t>архитектурно</w:t>
      </w:r>
      <w:r>
        <w:rPr>
          <w:color w:val="000000"/>
          <w:spacing w:val="0"/>
          <w:w w:val="100"/>
          <w:position w:val="0"/>
          <w:u w:val="none"/>
        </w:rPr>
        <w:t xml:space="preserve"> ст</w:t>
      </w:r>
      <w:r>
        <w:rPr>
          <w:color w:val="000000"/>
          <w:spacing w:val="0"/>
          <w:w w:val="100"/>
          <w:position w:val="0"/>
        </w:rPr>
        <w:t>роительного профиля</w:t>
      </w:r>
    </w:p>
    <w:tbl>
      <w:tblPr>
        <w:tblOverlap w:val="never"/>
        <w:jc w:val="left"/>
        <w:tblLayout w:type="fixed"/>
      </w:tblPr>
      <w:tblGrid>
        <w:gridCol w:w="298"/>
        <w:gridCol w:w="2016"/>
        <w:gridCol w:w="926"/>
        <w:gridCol w:w="394"/>
        <w:gridCol w:w="346"/>
        <w:gridCol w:w="317"/>
        <w:gridCol w:w="312"/>
        <w:gridCol w:w="293"/>
        <w:gridCol w:w="2328"/>
        <w:gridCol w:w="494"/>
        <w:gridCol w:w="408"/>
        <w:gridCol w:w="346"/>
        <w:gridCol w:w="322"/>
        <w:gridCol w:w="317"/>
      </w:tblGrid>
      <w:tr>
        <w:trPr>
          <w:trHeight w:val="278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N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Государственных</w:t>
            </w:r>
          </w:p>
        </w:tc>
        <w:tc>
          <w:tcPr>
            <w:gridSpan w:val="5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2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Количество студентов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322" w:lineRule="auto"/>
              <w:ind w:left="0" w:right="0" w:firstLine="0"/>
              <w:jc w:val="center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Негосударственной формы собственности</w:t>
            </w:r>
          </w:p>
        </w:tc>
        <w:tc>
          <w:tcPr>
            <w:gridSpan w:val="5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Количество студентов</w:t>
            </w:r>
          </w:p>
        </w:tc>
      </w:tr>
      <w:tr>
        <w:trPr>
          <w:trHeight w:val="278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5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в А С X</w:t>
            </w: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5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6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в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А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С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X</w:t>
            </w:r>
          </w:p>
        </w:tc>
      </w:tr>
      <w:tr>
        <w:trPr>
          <w:trHeight w:val="346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1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66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Университет архитектуры и искусств в г. Исфахан.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600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200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A7A7A7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16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Университет в г. Табриз.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10000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500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106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17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Университе в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г.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Мияне.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150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45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2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62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Университет науки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и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тегнологий в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г.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Тегеран.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0000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550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450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139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18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Университе Моган в г. Махабад.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317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3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Университет Шахид Бехешти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в </w:t>
            </w:r>
            <w:r>
              <w:rPr>
                <w:rFonts w:ascii="Arial" w:eastAsia="Arial" w:hAnsi="Arial" w:cs="Arial"/>
                <w:color w:val="595959"/>
                <w:spacing w:val="0"/>
                <w:w w:val="100"/>
                <w:position w:val="0"/>
                <w:sz w:val="15"/>
                <w:szCs w:val="15"/>
              </w:rPr>
              <w:t xml:space="preserve">г.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Тегеран.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0000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72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19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Университе Хорасган в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г.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Исфахан.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12000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600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500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878787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274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4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Университет Искусств в г. Тегеран.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4000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150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100</w:t>
            </w: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96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20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в г. Илам.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9000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150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200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—</w:t>
            </w:r>
          </w:p>
        </w:tc>
      </w:tr>
      <w:tr>
        <w:trPr>
          <w:trHeight w:val="259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5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Кордестан в г. Сенендедж.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8000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180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139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21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в г. Бушехр.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8000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150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283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595959"/>
                <w:spacing w:val="0"/>
                <w:w w:val="100"/>
                <w:position w:val="0"/>
                <w:sz w:val="15"/>
                <w:szCs w:val="15"/>
              </w:rPr>
              <w:t>6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Университет архитектуры и искусств в г. Йезд.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650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150</w:t>
            </w: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91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22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в г. Шахре-корд.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2500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70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54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8"/>
                <w:szCs w:val="18"/>
              </w:rPr>
              <w:t>7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62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Университет Шахид Бахонар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в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г. Керман.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18000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450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  <w:widowControl w:val="0"/>
              <w:rPr>
                <w:sz w:val="10"/>
                <w:szCs w:val="10"/>
              </w:rPr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139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23</w:t>
            </w:r>
          </w:p>
        </w:tc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Университет в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г.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Боджнурд.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6000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278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8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в г. Кашан.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8000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878787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framePr w:w="9115" w:h="6331" w:wrap="none" w:vAnchor="page" w:hAnchor="page" w:x="1469" w:y="7480"/>
            </w:pPr>
          </w:p>
        </w:tc>
      </w:tr>
      <w:tr>
        <w:trPr>
          <w:trHeight w:val="389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8"/>
                <w:szCs w:val="18"/>
              </w:rPr>
              <w:t>9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в г. Тегеран.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17000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600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900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24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Университет Абхар в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 xml:space="preserve">г.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Занджан.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130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37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10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Фердоси в г. Машхад.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20500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650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595959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25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Университет в г. Шираз.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2500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100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70</w:t>
            </w:r>
          </w:p>
        </w:tc>
      </w:tr>
      <w:tr>
        <w:trPr>
          <w:trHeight w:val="403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11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Университет Шахид Чамран в г. Ахваз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11000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A7A7A7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26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Университет в г. Естахбан.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878787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389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12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Университет в г. Семнан.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10000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350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27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Университет в г. Газвин.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14400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600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700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374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13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5"/>
                <w:szCs w:val="15"/>
              </w:rPr>
              <w:t>Университет в г. Шираз.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15000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400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700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6C6C6C"/>
                <w:spacing w:val="0"/>
                <w:w w:val="100"/>
                <w:position w:val="0"/>
                <w:sz w:val="13"/>
                <w:szCs w:val="13"/>
              </w:rPr>
              <w:t>200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28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в г. Сагез.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70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595959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</w:tr>
      <w:tr>
        <w:trPr>
          <w:trHeight w:val="37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14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Мазандаран в г. Горган.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2500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120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—</w:t>
            </w:r>
          </w:p>
        </w:tc>
        <w:tc>
          <w:tcPr>
            <w:gridSpan w:val="7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tabs>
                <w:tab w:pos="2304" w:val="left"/>
              </w:tabs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color w:val="000000"/>
                <w:spacing w:val="0"/>
                <w:w w:val="100"/>
                <w:position w:val="0"/>
                <w:sz w:val="28"/>
                <w:szCs w:val="28"/>
              </w:rPr>
              <w:t xml:space="preserve">А: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Архитектурный факультет.</w:t>
              <w:tab/>
            </w:r>
            <w:r>
              <w:rPr>
                <w:color w:val="000000"/>
                <w:spacing w:val="0"/>
                <w:w w:val="100"/>
                <w:position w:val="0"/>
                <w:sz w:val="28"/>
                <w:szCs w:val="28"/>
              </w:rPr>
              <w:t xml:space="preserve">X’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Художественный факультет.</w:t>
            </w:r>
          </w:p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tabs>
                <w:tab w:pos="2314" w:val="left"/>
              </w:tabs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color w:val="000000"/>
                <w:spacing w:val="0"/>
                <w:w w:val="100"/>
                <w:position w:val="0"/>
                <w:sz w:val="28"/>
                <w:szCs w:val="28"/>
              </w:rPr>
              <w:t xml:space="preserve">С: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Строительный факультет.</w:t>
              <w:tab/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3"/>
                <w:szCs w:val="13"/>
              </w:rPr>
              <w:t xml:space="preserve">Bl </w:t>
            </w: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Всего количество студентов.</w:t>
            </w:r>
          </w:p>
        </w:tc>
      </w:tr>
      <w:tr>
        <w:trPr>
          <w:trHeight w:val="442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15</w:t>
            </w:r>
          </w:p>
        </w:tc>
        <w:tc>
          <w:tcPr>
            <w:gridSpan w:val="2"/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5"/>
                <w:szCs w:val="15"/>
              </w:rPr>
              <w:t>Университет Буалисина в г. Хамедан.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15"/>
                <w:szCs w:val="15"/>
              </w:rPr>
              <w:t>8500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350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1F1F1F"/>
                <w:spacing w:val="0"/>
                <w:w w:val="100"/>
                <w:position w:val="0"/>
                <w:sz w:val="13"/>
                <w:szCs w:val="13"/>
              </w:rPr>
              <w:t>450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3"/>
              <w:keepNext w:val="0"/>
              <w:keepLines w:val="0"/>
              <w:framePr w:w="9115" w:h="6331" w:wrap="none" w:vAnchor="page" w:hAnchor="page" w:x="1469" w:y="748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3"/>
                <w:szCs w:val="13"/>
              </w:rPr>
            </w:pPr>
            <w:r>
              <w:rPr>
                <w:rFonts w:ascii="Arial" w:eastAsia="Arial" w:hAnsi="Arial" w:cs="Arial"/>
                <w:color w:val="595959"/>
                <w:spacing w:val="0"/>
                <w:w w:val="100"/>
                <w:position w:val="0"/>
                <w:sz w:val="13"/>
                <w:szCs w:val="13"/>
              </w:rPr>
              <w:t>-</w:t>
            </w:r>
          </w:p>
        </w:tc>
        <w:tc>
          <w:tcPr>
            <w:gridSpan w:val="7"/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115" w:h="6331" w:wrap="none" w:vAnchor="page" w:hAnchor="page" w:x="1469" w:y="7480"/>
            </w:pPr>
          </w:p>
        </w:tc>
      </w:tr>
    </w:tbl>
    <w:p>
      <w:pPr>
        <w:pStyle w:val="Style18"/>
        <w:keepNext w:val="0"/>
        <w:keepLines w:val="0"/>
        <w:framePr w:w="9456" w:h="754" w:hRule="exact" w:wrap="none" w:vAnchor="page" w:hAnchor="page" w:x="1196" w:y="14455"/>
        <w:widowControl w:val="0"/>
        <w:shd w:val="clear" w:color="auto" w:fill="auto"/>
        <w:bidi w:val="0"/>
        <w:spacing w:before="0" w:after="0" w:line="343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Рис . З . Схема </w:t>
      </w:r>
      <w:r>
        <w:rPr>
          <w:color w:val="000000"/>
          <w:spacing w:val="0"/>
          <w:w w:val="100"/>
          <w:position w:val="0"/>
        </w:rPr>
        <w:t xml:space="preserve">размещения </w:t>
      </w:r>
      <w:r>
        <w:rPr>
          <w:color w:val="000000"/>
          <w:spacing w:val="0"/>
          <w:w w:val="100"/>
          <w:position w:val="0"/>
        </w:rPr>
        <w:t xml:space="preserve">на </w:t>
      </w:r>
      <w:r>
        <w:rPr>
          <w:color w:val="000000"/>
          <w:spacing w:val="0"/>
          <w:w w:val="100"/>
          <w:position w:val="0"/>
        </w:rPr>
        <w:t xml:space="preserve">территории Ирана вузов </w:t>
      </w:r>
      <w:r>
        <w:rPr>
          <w:color w:val="000000"/>
          <w:spacing w:val="0"/>
          <w:w w:val="100"/>
          <w:position w:val="0"/>
        </w:rPr>
        <w:t xml:space="preserve">, в состав </w:t>
      </w:r>
      <w:r>
        <w:rPr>
          <w:color w:val="000000"/>
          <w:spacing w:val="0"/>
          <w:w w:val="100"/>
          <w:position w:val="0"/>
        </w:rPr>
        <w:t>которых входят факультеты архитектуры и строительства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88" w:y="7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1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447</w:t>
      </w:r>
    </w:p>
    <w:p>
      <w:pPr>
        <w:pStyle w:val="Style11"/>
        <w:keepNext w:val="0"/>
        <w:keepLines w:val="0"/>
        <w:framePr w:w="9691" w:h="1824" w:hRule="exact" w:wrap="none" w:vAnchor="page" w:hAnchor="page" w:x="1078" w:y="1456"/>
        <w:widowControl w:val="0"/>
        <w:shd w:val="clear" w:color="auto" w:fill="auto"/>
        <w:bidi w:val="0"/>
        <w:spacing w:before="0" w:after="0" w:line="288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Важным этапом </w:t>
      </w:r>
      <w:r>
        <w:rPr>
          <w:color w:val="000000"/>
          <w:spacing w:val="0"/>
          <w:w w:val="100"/>
          <w:position w:val="0"/>
        </w:rPr>
        <w:t xml:space="preserve">комплексного </w:t>
      </w:r>
      <w:r>
        <w:rPr>
          <w:color w:val="000000"/>
          <w:spacing w:val="0"/>
          <w:w w:val="100"/>
          <w:position w:val="0"/>
        </w:rPr>
        <w:t>анализа системы высшего специального образования в Иране является обследование университетов с архитектурно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softHyphen/>
      </w:r>
      <w:r>
        <w:rPr>
          <w:color w:val="000000"/>
          <w:spacing w:val="0"/>
          <w:w w:val="100"/>
          <w:position w:val="0"/>
        </w:rPr>
        <w:t>строительной специализацией, представленных на рис . 3 , а также существующих на сегодняшний день особенностей формирования сети высших учебных заведений 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Литература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numPr>
          <w:ilvl w:val="0"/>
          <w:numId w:val="3"/>
        </w:numPr>
        <w:shd w:val="clear" w:color="auto" w:fill="auto"/>
        <w:tabs>
          <w:tab w:pos="734" w:val="left"/>
        </w:tabs>
        <w:bidi w:val="0"/>
        <w:spacing w:before="0" w:after="0" w:line="269" w:lineRule="auto"/>
        <w:ind w:left="0" w:right="0" w:firstLine="380"/>
        <w:jc w:val="both"/>
        <w:rPr>
          <w:sz w:val="28"/>
          <w:szCs w:val="28"/>
        </w:rPr>
      </w:pPr>
      <w:bookmarkStart w:id="4" w:name="bookmark4"/>
      <w:bookmarkEnd w:id="4"/>
      <w:r>
        <w:rPr>
          <w:color w:val="000000"/>
          <w:spacing w:val="0"/>
          <w:w w:val="100"/>
          <w:position w:val="0"/>
          <w:sz w:val="26"/>
          <w:szCs w:val="26"/>
        </w:rPr>
        <w:t xml:space="preserve">Электронный ресурс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[http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: // </w:t>
      </w:r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msrt.ir]</w:t>
      </w:r>
      <w:r>
        <w:rPr>
          <w:color w:val="000000"/>
          <w:spacing w:val="0"/>
          <w:w w:val="100"/>
          <w:position w:val="0"/>
          <w:sz w:val="28"/>
          <w:szCs w:val="28"/>
        </w:rPr>
        <w:t>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numPr>
          <w:ilvl w:val="0"/>
          <w:numId w:val="3"/>
        </w:numPr>
        <w:shd w:val="clear" w:color="auto" w:fill="auto"/>
        <w:tabs>
          <w:tab w:pos="758" w:val="left"/>
        </w:tabs>
        <w:bidi w:val="0"/>
        <w:spacing w:before="0" w:after="0" w:line="269" w:lineRule="auto"/>
        <w:ind w:left="0" w:right="0" w:firstLine="380"/>
        <w:jc w:val="both"/>
        <w:rPr>
          <w:sz w:val="28"/>
          <w:szCs w:val="28"/>
        </w:rPr>
      </w:pPr>
      <w:bookmarkStart w:id="5" w:name="bookmark5"/>
      <w:bookmarkEnd w:id="5"/>
      <w:r>
        <w:rPr>
          <w:color w:val="000000"/>
          <w:spacing w:val="0"/>
          <w:w w:val="100"/>
          <w:position w:val="0"/>
          <w:sz w:val="26"/>
          <w:szCs w:val="26"/>
        </w:rPr>
        <w:t xml:space="preserve">Электронный ресурс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[http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: // </w:t>
      </w:r>
      <w:r>
        <w:rPr>
          <w:color w:val="000000"/>
          <w:spacing w:val="0"/>
          <w:w w:val="100"/>
          <w:position w:val="0"/>
          <w:sz w:val="28"/>
          <w:szCs w:val="28"/>
        </w:rPr>
        <w:t>uk.ac.ir].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numPr>
          <w:ilvl w:val="0"/>
          <w:numId w:val="3"/>
        </w:numPr>
        <w:shd w:val="clear" w:color="auto" w:fill="auto"/>
        <w:tabs>
          <w:tab w:pos="758" w:val="left"/>
        </w:tabs>
        <w:bidi w:val="0"/>
        <w:spacing w:before="0" w:after="0" w:line="269" w:lineRule="auto"/>
        <w:ind w:left="0" w:right="0" w:firstLine="380"/>
        <w:jc w:val="both"/>
        <w:rPr>
          <w:sz w:val="28"/>
          <w:szCs w:val="28"/>
        </w:rPr>
      </w:pPr>
      <w:bookmarkStart w:id="6" w:name="bookmark6"/>
      <w:bookmarkEnd w:id="6"/>
      <w:r>
        <w:rPr>
          <w:color w:val="000000"/>
          <w:spacing w:val="0"/>
          <w:w w:val="100"/>
          <w:position w:val="0"/>
          <w:sz w:val="26"/>
          <w:szCs w:val="26"/>
        </w:rPr>
        <w:t xml:space="preserve">Электронный ресурс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[http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: // </w:t>
      </w:r>
      <w:r>
        <w:rPr>
          <w:color w:val="000000"/>
          <w:spacing w:val="0"/>
          <w:w w:val="100"/>
          <w:position w:val="0"/>
          <w:sz w:val="28"/>
          <w:szCs w:val="28"/>
        </w:rPr>
        <w:t>aui.ac.ir].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numPr>
          <w:ilvl w:val="0"/>
          <w:numId w:val="3"/>
        </w:numPr>
        <w:shd w:val="clear" w:color="auto" w:fill="auto"/>
        <w:tabs>
          <w:tab w:pos="758" w:val="left"/>
        </w:tabs>
        <w:bidi w:val="0"/>
        <w:spacing w:before="0" w:after="0" w:line="269" w:lineRule="auto"/>
        <w:ind w:left="0" w:right="0" w:firstLine="38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 xml:space="preserve">Электронный ресурс </w:t>
      </w:r>
      <w:r>
        <w:rPr>
          <w:color w:val="000000"/>
          <w:spacing w:val="0"/>
          <w:w w:val="100"/>
          <w:position w:val="0"/>
        </w:rPr>
        <w:t xml:space="preserve">[http </w:t>
      </w:r>
      <w:r>
        <w:rPr>
          <w:color w:val="000000"/>
          <w:spacing w:val="0"/>
          <w:w w:val="100"/>
          <w:position w:val="0"/>
        </w:rPr>
        <w:t xml:space="preserve">: // </w:t>
      </w:r>
      <w:r>
        <w:rPr>
          <w:color w:val="000000"/>
          <w:spacing w:val="0"/>
          <w:w w:val="100"/>
          <w:position w:val="0"/>
        </w:rPr>
        <w:t xml:space="preserve">yazduni </w:t>
      </w:r>
      <w:r>
        <w:rPr>
          <w:color w:val="000000"/>
          <w:spacing w:val="0"/>
          <w:w w:val="100"/>
          <w:position w:val="0"/>
        </w:rPr>
        <w:t xml:space="preserve">. ас . </w:t>
      </w:r>
      <w:r>
        <w:rPr>
          <w:color w:val="000000"/>
          <w:spacing w:val="0"/>
          <w:w w:val="100"/>
          <w:position w:val="0"/>
        </w:rPr>
        <w:t xml:space="preserve">ir] 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numPr>
          <w:ilvl w:val="0"/>
          <w:numId w:val="3"/>
        </w:numPr>
        <w:shd w:val="clear" w:color="auto" w:fill="auto"/>
        <w:tabs>
          <w:tab w:pos="758" w:val="left"/>
        </w:tabs>
        <w:bidi w:val="0"/>
        <w:spacing w:before="0" w:after="340" w:line="269" w:lineRule="auto"/>
        <w:ind w:left="0" w:right="0" w:firstLine="380"/>
        <w:jc w:val="both"/>
        <w:rPr>
          <w:sz w:val="28"/>
          <w:szCs w:val="28"/>
        </w:rPr>
      </w:pPr>
      <w:bookmarkStart w:id="8" w:name="bookmark8"/>
      <w:bookmarkEnd w:id="8"/>
      <w:r>
        <w:rPr>
          <w:color w:val="000000"/>
          <w:spacing w:val="0"/>
          <w:w w:val="100"/>
          <w:position w:val="0"/>
          <w:sz w:val="28"/>
          <w:szCs w:val="28"/>
        </w:rPr>
        <w:t xml:space="preserve">Memar Magazine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№4 9 </w:t>
      </w:r>
      <w:r>
        <w:rPr>
          <w:color w:val="000000"/>
          <w:spacing w:val="0"/>
          <w:w w:val="100"/>
          <w:position w:val="0"/>
          <w:sz w:val="28"/>
          <w:szCs w:val="28"/>
        </w:rPr>
        <w:t>-Tehran, Iran.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Анотація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У статті розглянуті розміщення, функціональні схеми, архітектурні рішення вищих навчальних закладів архітектурно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будівельного профілю в Ірані 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34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</w:rPr>
        <w:t xml:space="preserve"> : вищий навчальний заклад , багатопрофільний університет , архітектурно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будівельний факультет 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0" w:line="269" w:lineRule="auto"/>
        <w:ind w:left="0" w:right="0" w:firstLine="0"/>
        <w:jc w:val="center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</w:rPr>
        <w:t>Annotation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0" w:line="269" w:lineRule="auto"/>
        <w:ind w:left="0" w:right="0" w:firstLine="72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</w:rPr>
        <w:t>The article deals with accommodation, functional diagrams, architectural solutions of higher educational institutions of Architecture and Civil profile in Iran.</w:t>
      </w:r>
    </w:p>
    <w:p>
      <w:pPr>
        <w:pStyle w:val="Style11"/>
        <w:keepNext w:val="0"/>
        <w:keepLines w:val="0"/>
        <w:framePr w:w="9691" w:h="6854" w:hRule="exact" w:wrap="none" w:vAnchor="page" w:hAnchor="page" w:x="1078" w:y="3616"/>
        <w:widowControl w:val="0"/>
        <w:shd w:val="clear" w:color="auto" w:fill="auto"/>
        <w:bidi w:val="0"/>
        <w:spacing w:before="0" w:after="0" w:line="269" w:lineRule="auto"/>
        <w:ind w:left="0" w:right="0" w:firstLine="72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Key words: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higher education institution, a multidisciplinary university, Architecture and Civil Engineering Department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9">
    <w:name w:val="Основной текст (2)_"/>
    <w:basedOn w:val="DefaultParagraphFont"/>
    <w:link w:val="Style1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22">
    <w:name w:val="Подпись к картинке_"/>
    <w:basedOn w:val="DefaultParagraphFont"/>
    <w:link w:val="Style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24">
    <w:name w:val="Другое_"/>
    <w:basedOn w:val="DefaultParagraphFont"/>
    <w:link w:val="Style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7">
    <w:name w:val="Подпись к таблице_"/>
    <w:basedOn w:val="DefaultParagraphFont"/>
    <w:link w:val="Style26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singl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90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8">
    <w:name w:val="Основной текст (2)"/>
    <w:basedOn w:val="Normal"/>
    <w:link w:val="CharStyle19"/>
    <w:pPr>
      <w:widowControl w:val="0"/>
      <w:shd w:val="clear" w:color="auto" w:fill="auto"/>
      <w:spacing w:after="340" w:line="331" w:lineRule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21">
    <w:name w:val="Подпись к картинке"/>
    <w:basedOn w:val="Normal"/>
    <w:link w:val="CharStyle22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23">
    <w:name w:val="Другое"/>
    <w:basedOn w:val="Normal"/>
    <w:link w:val="CharStyle24"/>
    <w:pPr>
      <w:widowControl w:val="0"/>
      <w:shd w:val="clear" w:color="auto" w:fill="auto"/>
      <w:spacing w:line="290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6">
    <w:name w:val="Подпись к таблице"/>
    <w:basedOn w:val="Normal"/>
    <w:link w:val="CharStyle27"/>
    <w:pPr>
      <w:widowControl w:val="0"/>
      <w:shd w:val="clear" w:color="auto" w:fill="auto"/>
    </w:pPr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singl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Relationship Id="rId13" Type="http://schemas.openxmlformats.org/officeDocument/2006/relationships/image" Target="media/image5.jpeg"/><Relationship Id="rId14" Type="http://schemas.openxmlformats.org/officeDocument/2006/relationships/image" Target="media/image5.jpeg" TargetMode="External"/><Relationship Id="rId15" Type="http://schemas.openxmlformats.org/officeDocument/2006/relationships/image" Target="media/image6.jpeg"/><Relationship Id="rId16" Type="http://schemas.openxmlformats.org/officeDocument/2006/relationships/image" Target="media/image6.jpeg" TargetMode="External"/><Relationship Id="rId17" Type="http://schemas.openxmlformats.org/officeDocument/2006/relationships/image" Target="media/image7.jpeg"/><Relationship Id="rId18" Type="http://schemas.openxmlformats.org/officeDocument/2006/relationships/image" Target="media/image7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