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footer1.xml" ContentType="application/vnd.openxmlformats-officedocument.wordprocessingml.footer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 xmlns:w15="http://schemas.microsoft.com/office/word/2012/wordml" mc:Ignorable="w15">
  <w:body>
    <w:p>
      <w:pPr>
        <w:pStyle w:val="Style5"/>
        <w:keepNext/>
        <w:keepLines/>
        <w:widowControl w:val="0"/>
        <w:pBdr>
          <w:bottom w:val="single" w:sz="4" w:space="0" w:color="auto"/>
        </w:pBdr>
        <w:shd w:val="clear" w:color="auto" w:fill="auto"/>
        <w:bidi w:val="0"/>
        <w:spacing w:line="240" w:lineRule="auto"/>
        <w:ind w:left="0" w:right="0" w:firstLine="0"/>
        <w:jc w:val="center"/>
      </w:pPr>
      <w:bookmarkStart w:id="0" w:name="bookmark0"/>
      <w:bookmarkStart w:id="1" w:name="bookmark1"/>
      <w:bookmarkStart w:id="2" w:name="bookmark2"/>
      <w:r>
        <w:rPr>
          <w:color w:val="000000"/>
          <w:spacing w:val="0"/>
          <w:w w:val="100"/>
          <w:position w:val="0"/>
        </w:rPr>
        <w:t>ЕНЕРГОЗБЕРЕЖЕННЯ</w:t>
      </w:r>
      <w:bookmarkEnd w:id="0"/>
      <w:bookmarkEnd w:id="1"/>
      <w:bookmarkEnd w:id="2"/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200" w:line="240" w:lineRule="auto"/>
        <w:ind w:left="0" w:right="0" w:firstLine="0"/>
        <w:jc w:val="both"/>
      </w:pPr>
      <w:r>
        <w:rPr>
          <w:b/>
          <w:bCs/>
          <w:i w:val="0"/>
          <w:iCs w:val="0"/>
          <w:color w:val="000000"/>
          <w:spacing w:val="0"/>
          <w:w w:val="100"/>
          <w:position w:val="0"/>
        </w:rPr>
        <w:t>УДК 697.329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720" w:line="254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Аналіз конструкцій сезонних теплоакумуляторів для забезпечення систем гарячого водопостачання та опалення в котеджному будівництві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both"/>
        <w:rPr>
          <w:sz w:val="17"/>
          <w:szCs w:val="17"/>
        </w:rPr>
      </w:pPr>
      <w:r>
        <w:rPr>
          <w:i w:val="0"/>
          <w:iCs w:val="0"/>
          <w:color w:val="000000"/>
          <w:spacing w:val="0"/>
          <w:w w:val="100"/>
          <w:position w:val="0"/>
          <w:sz w:val="17"/>
          <w:szCs w:val="17"/>
        </w:rPr>
        <w:t>О.П. Любарець</w:t>
      </w:r>
      <w:r>
        <w:rPr>
          <w:i w:val="0"/>
          <w:iCs w:val="0"/>
          <w:color w:val="000000"/>
          <w:spacing w:val="0"/>
          <w:w w:val="100"/>
          <w:position w:val="0"/>
          <w:sz w:val="17"/>
          <w:szCs w:val="17"/>
          <w:vertAlign w:val="superscript"/>
        </w:rPr>
        <w:t>1</w:t>
      </w:r>
      <w:r>
        <w:rPr>
          <w:i w:val="0"/>
          <w:iCs w:val="0"/>
          <w:color w:val="000000"/>
          <w:spacing w:val="0"/>
          <w:w w:val="100"/>
          <w:position w:val="0"/>
          <w:sz w:val="17"/>
          <w:szCs w:val="17"/>
        </w:rPr>
        <w:t>, А.С. Москвітіна</w:t>
      </w:r>
      <w:r>
        <w:rPr>
          <w:i w:val="0"/>
          <w:iCs w:val="0"/>
          <w:color w:val="000000"/>
          <w:spacing w:val="0"/>
          <w:w w:val="100"/>
          <w:position w:val="0"/>
          <w:sz w:val="17"/>
          <w:szCs w:val="17"/>
          <w:vertAlign w:val="superscript"/>
        </w:rPr>
        <w:t>2</w:t>
      </w:r>
    </w:p>
    <w:p>
      <w:pPr>
        <w:pStyle w:val="Style17"/>
        <w:keepNext w:val="0"/>
        <w:keepLines w:val="0"/>
        <w:widowControl w:val="0"/>
        <w:shd w:val="clear" w:color="auto" w:fill="auto"/>
        <w:bidi w:val="0"/>
        <w:spacing w:before="0" w:after="0" w:line="226" w:lineRule="auto"/>
        <w:ind w:left="0" w:right="0" w:firstLine="0"/>
        <w:jc w:val="both"/>
        <w:rPr>
          <w:sz w:val="15"/>
          <w:szCs w:val="15"/>
        </w:rPr>
      </w:pPr>
      <w:r>
        <w:rPr>
          <w:color w:val="000000"/>
          <w:spacing w:val="0"/>
          <w:w w:val="100"/>
          <w:position w:val="0"/>
          <w:sz w:val="15"/>
          <w:szCs w:val="15"/>
        </w:rPr>
        <w:t xml:space="preserve">‘к.т.н., доцент, Київський національний університет будівництва і архітектури, </w:t>
      </w:r>
      <w:r>
        <w:fldChar w:fldCharType="begin"/>
      </w:r>
      <w:r>
        <w:rPr/>
        <w:instrText> HYPERLINK "mailto:apl_knuba@ukr.net" </w:instrText>
      </w:r>
      <w:r>
        <w:fldChar w:fldCharType="separate"/>
      </w:r>
      <w:r>
        <w:rPr>
          <w:color w:val="1C1C1C"/>
          <w:spacing w:val="0"/>
          <w:w w:val="100"/>
          <w:position w:val="0"/>
          <w:sz w:val="15"/>
          <w:szCs w:val="15"/>
          <w:u w:val="single"/>
        </w:rPr>
        <w:t>apl_knuba@ukr.net</w:t>
      </w:r>
      <w:r>
        <w:fldChar w:fldCharType="end"/>
      </w:r>
    </w:p>
    <w:p>
      <w:pPr>
        <w:pStyle w:val="Style17"/>
        <w:keepNext w:val="0"/>
        <w:keepLines w:val="0"/>
        <w:widowControl w:val="0"/>
        <w:shd w:val="clear" w:color="auto" w:fill="auto"/>
        <w:bidi w:val="0"/>
        <w:spacing w:before="0" w:after="200" w:line="206" w:lineRule="auto"/>
        <w:ind w:left="0" w:right="0" w:firstLine="0"/>
        <w:jc w:val="left"/>
        <w:rPr>
          <w:sz w:val="15"/>
          <w:szCs w:val="15"/>
        </w:rPr>
      </w:pPr>
      <w:r>
        <w:rPr>
          <w:color w:val="000000"/>
          <w:spacing w:val="0"/>
          <w:w w:val="100"/>
          <w:position w:val="0"/>
          <w:sz w:val="15"/>
          <w:szCs w:val="15"/>
          <w:vertAlign w:val="superscript"/>
        </w:rPr>
        <w:t>2</w:t>
      </w:r>
      <w:r>
        <w:rPr>
          <w:color w:val="000000"/>
          <w:spacing w:val="0"/>
          <w:w w:val="100"/>
          <w:position w:val="0"/>
          <w:sz w:val="15"/>
          <w:szCs w:val="15"/>
        </w:rPr>
        <w:t xml:space="preserve"> аспірант, Київський національний університет будівництва і архітектури, </w:t>
      </w:r>
      <w:r>
        <w:fldChar w:fldCharType="begin"/>
      </w:r>
      <w:r>
        <w:rPr/>
        <w:instrText> HYPERLINK "mailto:amoskvitina@i.ua" </w:instrText>
      </w:r>
      <w:r>
        <w:fldChar w:fldCharType="separate"/>
      </w:r>
      <w:r>
        <w:rPr>
          <w:color w:val="1C1C1C"/>
          <w:spacing w:val="0"/>
          <w:w w:val="100"/>
          <w:position w:val="0"/>
          <w:sz w:val="15"/>
          <w:szCs w:val="15"/>
          <w:u w:val="single"/>
        </w:rPr>
        <w:t>amoskvitina@i.ua</w:t>
      </w:r>
      <w:r>
        <w:fldChar w:fldCharType="end"/>
      </w:r>
    </w:p>
    <w:p>
      <w:pPr>
        <w:pStyle w:val="Style17"/>
        <w:keepNext w:val="0"/>
        <w:keepLines w:val="0"/>
        <w:widowControl w:val="0"/>
        <w:shd w:val="clear" w:color="auto" w:fill="auto"/>
        <w:bidi w:val="0"/>
        <w:spacing w:before="0" w:after="200" w:line="233" w:lineRule="auto"/>
        <w:ind w:left="460" w:right="0"/>
        <w:jc w:val="both"/>
        <w:rPr>
          <w:sz w:val="15"/>
          <w:szCs w:val="15"/>
        </w:rPr>
      </w:pPr>
      <w:r>
        <w:rPr>
          <w:i/>
          <w:iCs/>
          <w:color w:val="000000"/>
          <w:spacing w:val="0"/>
          <w:w w:val="100"/>
          <w:position w:val="0"/>
          <w:sz w:val="15"/>
          <w:szCs w:val="15"/>
        </w:rPr>
        <w:t>Проведено огляд основних конструкцій організованих сезонних акумуляторів теплоти. Розглянуто переваги та недоліки наступних конструкцій сезонних акумуляторів: водяний акумулятор теплоти, акумулятор теплоти з твердим теплоакумулюючим матеріалом, акумулятор теплоти з використанням теплоти фазового переходу. Встановлено характерні особливості конструкції сезонного акумулятора теплоти для котеджного будівництва.</w:t>
      </w: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200" w:line="240" w:lineRule="auto"/>
        <w:ind w:left="460" w:right="0" w:firstLine="20"/>
        <w:jc w:val="both"/>
      </w:pPr>
      <w:r>
        <w:rPr>
          <w:i/>
          <w:iCs/>
          <w:color w:val="000000"/>
          <w:spacing w:val="0"/>
          <w:w w:val="100"/>
          <w:position w:val="0"/>
        </w:rPr>
        <w:t>Ключові слова: сезонний акумулятор теплоти, конструкція сезонного акумулятора теплоти, теплоємнісний акумулятор теплоти, теплоакумулятор з використанням теплоти фазового переходу.</w:t>
      </w: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both"/>
      </w:pPr>
      <w:r>
        <w:rPr>
          <w:b/>
          <w:bCs/>
          <w:color w:val="000000"/>
          <w:spacing w:val="0"/>
          <w:w w:val="100"/>
          <w:position w:val="0"/>
        </w:rPr>
        <w:t xml:space="preserve">Вступ. </w:t>
      </w:r>
      <w:r>
        <w:rPr>
          <w:color w:val="000000"/>
          <w:spacing w:val="0"/>
          <w:w w:val="100"/>
          <w:position w:val="0"/>
        </w:rPr>
        <w:t>Однією з технологій накопичення теплової енергії в теплий період року, її зберігання та подальшого використання в опалювальний період, є створення сезонних акумуляторів теплоти. В якості джерела теплоти в теплий період року для зарядки сезонного теплоакумулятора найчастіше використовують систему сонячних колекторів. Досвід експлуатації неорганізованих сезонних грунтових акумуляторів теплоти вказує на малу ефективність такого зберігання теплоти в наслідок значних тепловтрат в оточуючий масив грунту. Адже температура теплоносія від сонячного колектора може сягати 120-140°С, а середньорічна температура оточуючого необмеженого масиву грунту близько +8</w:t>
      </w:r>
      <w:r>
        <w:rPr>
          <w:color w:val="000000"/>
          <w:spacing w:val="0"/>
          <w:w w:val="100"/>
          <w:position w:val="0"/>
          <w:vertAlign w:val="superscript"/>
        </w:rPr>
        <w:t>0</w:t>
      </w:r>
      <w:r>
        <w:rPr>
          <w:color w:val="000000"/>
          <w:spacing w:val="0"/>
          <w:w w:val="100"/>
          <w:position w:val="0"/>
        </w:rPr>
        <w:t>С.</w:t>
      </w: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200" w:line="24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Для таких систем (геліоколектори + сезонний теплоакумулятор) доцільно використовувати організовані сезонні теплоакумулятори, які розраховані на визначену кількість теплоти. Під організованим сезонним акумулятором теплоти розуміється теплоакумулююча система, яка складається з теплоізольованого резервуару для зберігання теплоакумулюючого матеріалу (ТАМ) та теплоносія, що використовується для транспортування теплоти до ТАМу при її акумулюванні в теплий період та теплопостачанні в холодний період року в ід ТАМу до енергоспоживаючих систем (опалення, гарячого водопостачання, тощо).</w:t>
      </w: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0" w:line="233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В даній роботі розглядається порівняння основних варіантів конструкцій організованих сезонних акумуляторів теплоти.</w:t>
      </w: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0" w:line="233" w:lineRule="auto"/>
        <w:ind w:left="0" w:right="0" w:firstLine="480"/>
        <w:jc w:val="both"/>
      </w:pPr>
      <w:r>
        <w:rPr>
          <w:b/>
          <w:bCs/>
          <w:color w:val="000000"/>
          <w:spacing w:val="0"/>
          <w:w w:val="100"/>
          <w:position w:val="0"/>
        </w:rPr>
        <w:t xml:space="preserve">Водяний сезонний акумулятор теплоти, </w:t>
      </w:r>
      <w:r>
        <w:rPr>
          <w:color w:val="000000"/>
          <w:spacing w:val="0"/>
          <w:w w:val="100"/>
          <w:position w:val="0"/>
        </w:rPr>
        <w:t>найчастіше, представляє собою теплоізольований залізобетонний резервуар, наповнений водою - теплоносієм, який безпосередньо поступає енергоспоживаючі системи будівлі. У випадках, коли теплоносій із теплоакумулятора неможливо безпосередньо використовувати в енергоспоживаючих системах та геліоколекторах, необхідно використовувати теплообмінники, що можуть бути розташовані в теплоакумуляторі та за його межами. Наприклад, при використанні в геліоколекторі розчину антифризу, слід використовувати розміщений в теплоакумуляторі теплообмінник, для уникнення змішування антифризу з водою. Крім того, якість води в теплоакумуляторі та наякність в ній розчиненого кисню за будівельними нормами не дозволяють використовувати її в якості теплоносія в системі опалення [1].</w:t>
      </w:r>
    </w:p>
    <w:p>
      <w:pPr>
        <w:widowControl w:val="0"/>
        <w:jc w:val="center"/>
        <w:rPr>
          <w:sz w:val="2"/>
          <w:szCs w:val="2"/>
        </w:rPr>
      </w:pPr>
      <w:r>
        <w:drawing>
          <wp:inline>
            <wp:extent cx="2194560" cy="1499870"/>
            <wp:docPr id="1" name="Picutre 1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5"/>
                    <a:stretch/>
                  </pic:blipFill>
                  <pic:spPr>
                    <a:xfrm>
                      <a:ext cx="2194560" cy="149987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2"/>
        <w:keepNext w:val="0"/>
        <w:keepLines w:val="0"/>
        <w:widowControl w:val="0"/>
        <w:shd w:val="clear" w:color="auto" w:fill="auto"/>
        <w:bidi w:val="0"/>
        <w:spacing w:before="0" w:after="0" w:line="228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Рис.1. Водяний сезонний бак-акумулятор теплоти.1 - до сонячного колектору;</w:t>
      </w:r>
    </w:p>
    <w:p>
      <w:pPr>
        <w:pStyle w:val="Style2"/>
        <w:keepNext w:val="0"/>
        <w:keepLines w:val="0"/>
        <w:widowControl w:val="0"/>
        <w:shd w:val="clear" w:color="auto" w:fill="auto"/>
        <w:bidi w:val="0"/>
        <w:spacing w:before="0" w:after="0" w:line="228" w:lineRule="auto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2 - гідроізольоване облицювання; 3 - до системи опалення; 4-від сонячного колектора; 5 - стінка з бетонних або шлакобетонних блоків; 6 - від системи опалення; 7 - вода.</w:t>
      </w:r>
    </w:p>
    <w:p>
      <w:pPr>
        <w:widowControl w:val="0"/>
        <w:spacing w:after="159" w:line="1" w:lineRule="exact"/>
      </w:pP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0" w:line="233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Переваги даної конструкції: вода у діапазоні робочих температур 0 ... 100 °С є кращим рідким теплоакумулюючим матеріалом (ТАМ) як по комплексу теплофізичних властивостей, так і за економічними показниками [2]. Недоліком цієї конструкції є великі розміри і висока вартість теплообмінників, що може викликати серйозні заперечення проти використання водяних баків- акумуляторів. У типових металевих теплообмінників, занурених у воду, загальна площа поверхні теплообміну може становити мало не одну третину від площі сонячного колектора [1]. Зменшення об’єму водяного акумулятора теплоти при незмінній кількості закумульованої теплоти веде до підвищення робочої температури води, що пов'язано із збільшенням тиску вище атмосферного, що, в свою чергу, ускладнює проектування корпусу, підвищує його вартість. З метою забезпечення робочих тисків на рівні атмосферного в якості ТАМів використовуються різні високотемпературні теплоносії (гліцерин, етиленгліколь, тощо), які, мають високу вартість.</w:t>
      </w: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0" w:line="233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Аналіз конструкцій </w:t>
      </w:r>
      <w:r>
        <w:rPr>
          <w:b/>
          <w:bCs/>
          <w:color w:val="000000"/>
          <w:spacing w:val="0"/>
          <w:w w:val="100"/>
          <w:position w:val="0"/>
        </w:rPr>
        <w:t xml:space="preserve">акумуляторорів теплоти з твердим ТАМом </w:t>
      </w:r>
      <w:r>
        <w:rPr>
          <w:color w:val="000000"/>
          <w:spacing w:val="0"/>
          <w:w w:val="100"/>
          <w:position w:val="0"/>
        </w:rPr>
        <w:t xml:space="preserve">показав, що в якості ТАМів використовуються найбільш дешеві матеріали - щебінь, феоліт (залізна руда), залишки будівельних матеріалів, бетон. Відомий акумулятор теплоти [3], який має корпус з ізоляцією та твердим </w:t>
      </w:r>
      <w:r>
        <w:rPr>
          <w:color w:val="000000"/>
          <w:spacing w:val="0"/>
          <w:w w:val="100"/>
          <w:position w:val="0"/>
        </w:rPr>
        <w:t>теплоакумулюючим матеріалом, в середині якого розташовані підвідиі-пї та відвідний трубопроводи у вигляді змієвиків. Однак, представлений акумулятор має вагомий недолік, пов'язаний з тим, що процес теплопередачі між теплоносіями та теплоакумулюючим матеріалом недостатньо інтенсивний у зв’язку з ламінарним потоком теплоносія в тонкому примежовому шарі, що характеризується наявністю значних градієнтів швидкості.</w:t>
      </w: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Для інтенсифікації процесу теплопередачі між ТАМом та теплоносієм застосовують різні відомі методи руйнування примежового ламінарного шару теплоносія в тому числі магнітострикційну вібрацію [4]. В такому теплоакумуляторі (рис.2) на вході і виході подавального та відвідного трубопроводів на відстані 3-5 мм розміщені плоскі електромагнітні індуктори, які підключені до джерела імпульсного току. Порушений ламінарний потік набуває турбулентний характер, що підсилює конвективний теплообмін, а відповідно і процес теплопередачі.</w:t>
      </w: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80" w:line="24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Тепловий акумулятор з твердим ТАМом як правило включає в себе корпус 1 з теплоізоляцією 2, всередині якого розташований твердий теплоакумулюючий матеріал 3 , що представляє собою пористу матрицю, наприклад щебінь. Тепловий акумулятор має підвідний трубопровід 4 і відвідний трубопровід 5 у вигляді змійовиків, плоскі електромагнітні вібратори 6, 7, підключені до імпульсного струму 8, і гасителі вібрації 9.</w:t>
      </w:r>
    </w:p>
    <w:p>
      <w:pPr>
        <w:framePr w:w="4392" w:h="3528" w:hSpace="240" w:vSpace="374" w:wrap="notBeside" w:vAnchor="text" w:hAnchor="text" w:x="1009" w:y="1"/>
        <w:widowControl w:val="0"/>
        <w:rPr>
          <w:sz w:val="2"/>
          <w:szCs w:val="2"/>
        </w:rPr>
      </w:pPr>
      <w:r>
        <w:drawing>
          <wp:inline>
            <wp:extent cx="2792095" cy="2243455"/>
            <wp:docPr id="2" name="Picutre 2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7"/>
                    <a:stretch/>
                  </pic:blipFill>
                  <pic:spPr>
                    <a:xfrm>
                      <a:ext cx="2792095" cy="2243455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widowControl w:val="0"/>
        <w:spacing w:line="1" w:lineRule="exact"/>
      </w:pPr>
      <w:r>
        <mc:AlternateContent>
          <mc:Choice Requires="wps">
            <w:drawing>
              <wp:anchor distT="0" distB="0" distL="0" distR="3688080" simplePos="0" relativeHeight="12582937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1932305</wp:posOffset>
                </wp:positionV>
                <wp:extent cx="551815" cy="125095"/>
                <wp:wrapTopAndBottom/>
                <wp:docPr id="3" name="Shape 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551815" cy="12509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До генератора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9" type="#_x0000_t202" style="position:absolute;margin-left:0;margin-top:152.15000000000001pt;width:43.450000000000003pt;height:9.8499999999999996pt;z-index:-125829375;mso-wrap-distance-left:0;mso-wrap-distance-right:290.40000000000003pt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До генератора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>
        <mc:AlternateContent>
          <mc:Choice Requires="wps">
            <w:drawing>
              <wp:anchor distT="0" distB="0" distL="0" distR="1027430" simplePos="0" relativeHeight="125829380" behindDoc="0" locked="0" layoutInCell="1" allowOverlap="1">
                <wp:simplePos x="0" y="0"/>
                <wp:positionH relativeFrom="column">
                  <wp:posOffset>368935</wp:posOffset>
                </wp:positionH>
                <wp:positionV relativeFrom="paragraph">
                  <wp:posOffset>2350135</wp:posOffset>
                </wp:positionV>
                <wp:extent cx="3212465" cy="128270"/>
                <wp:wrapTopAndBottom/>
                <wp:docPr id="5" name="Shape 5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3212465" cy="12827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Рис. 2. Тепловий акумулятор з твердим ТАМом для водяних систем опалення.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1" type="#_x0000_t202" style="position:absolute;margin-left:29.050000000000001pt;margin-top:185.05000000000001pt;width:252.95000000000002pt;height:10.1pt;z-index:-125829373;mso-wrap-distance-left:0;mso-wrap-distance-right:80.900000000000006pt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Рис. 2. Тепловий акумулятор з твердим ТАМом для водяних систем опалення.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0" w:line="233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Перевагами даного типу акумуляторів є використання недорогих матеріалів та можливість акумулювати високі температури: бетон, щебінь - понад 100 °С, чавунний ТАМ - понад 500 °С [5].</w:t>
      </w: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0" w:line="233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Проте конструкція акумулятора має вагомі недоліки. По-перше - для практичної реалізації необхідно додаткове устаткування, а саме плоскі </w:t>
      </w:r>
      <w:r>
        <w:rPr>
          <w:color w:val="000000"/>
          <w:spacing w:val="0"/>
          <w:w w:val="100"/>
          <w:position w:val="0"/>
        </w:rPr>
        <w:t>електромагнітні вібратори та джерело імпульсного току, що потребує постійного доступу для технічного обслуговування. По-друге, вібрація впливає на всі будівельні конструкції. По-третє, при роботі магнітострикційних вібраторів виникають низькі ультразвукові вібрації (10-80кГц), тому приміщення, де розміщені магнітострикційні вібратори, потрібно звукоізолювати від житлових приміщень. Все це значно ускладнює застосування та експлуатацію теплоакумулятора і збільшує капітальні затрати на його спорудження.</w:t>
      </w: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0" w:line="23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Основними типами сезонних </w:t>
      </w:r>
      <w:r>
        <w:rPr>
          <w:b/>
          <w:bCs/>
          <w:color w:val="000000"/>
          <w:spacing w:val="0"/>
          <w:w w:val="100"/>
          <w:position w:val="0"/>
        </w:rPr>
        <w:t xml:space="preserve">теплоакумуляторів з використанням теплоти фазового переходу </w:t>
      </w:r>
      <w:r>
        <w:rPr>
          <w:color w:val="000000"/>
          <w:spacing w:val="0"/>
          <w:w w:val="100"/>
          <w:position w:val="0"/>
        </w:rPr>
        <w:t xml:space="preserve">(АТФП) </w:t>
      </w:r>
      <w:r>
        <w:rPr>
          <w:rFonts w:ascii="Calibri" w:eastAsia="Calibri" w:hAnsi="Calibri" w:cs="Calibri"/>
          <w:i/>
          <w:iCs/>
          <w:color w:val="000000"/>
          <w:spacing w:val="0"/>
          <w:w w:val="100"/>
          <w:position w:val="0"/>
        </w:rPr>
        <w:t>є</w:t>
      </w:r>
      <w:r>
        <w:rPr>
          <w:color w:val="000000"/>
          <w:spacing w:val="0"/>
          <w:w w:val="100"/>
          <w:position w:val="0"/>
        </w:rPr>
        <w:t xml:space="preserve"> кожухотрубний (рис. За ) і капсульний (рис. 1.3.26). Вони складаються з корпусу 1, заповненого ТАМ 2. Підведення або відведення теплоти в АТФП проводиться за допомогою теплоносія 3, що протікає через нього. У першому випадку, теплоносій протікає по вертикально або горизонтально орієнтованим трубках, через стінки яких відбувається теплообмін між теплоносієм і ТАМом. В іншому випадку теплоносій проходить між капсулами з ТАМом, розташованими в корпусі АТФП (рис. 36).</w:t>
      </w: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0" w:line="23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Використання таких конструкцій АТФП переслідують мету поліпшення теплообміну між теплоносієм і ТАМом, при цьому поліпшення теплопередачі досягається за рахунок збільшення числа труб всередині ТАМ (рис. За ) або зменшення розмірів капсул з відповідним збільшенням їх кількості (рис. 36), що також призводить до подорожчання конструкції. Іноді такі заходи бувають вкрай необхідними, оскільки ряд ТАМів, придатних для теплової акумуляції, має низький коефіцієнт теплопровідності.</w:t>
      </w:r>
    </w:p>
    <w:p>
      <w:pPr>
        <w:widowControl w:val="0"/>
        <w:jc w:val="center"/>
        <w:rPr>
          <w:sz w:val="2"/>
          <w:szCs w:val="2"/>
        </w:rPr>
      </w:pPr>
      <w:r>
        <w:drawing>
          <wp:inline>
            <wp:extent cx="3602990" cy="2243455"/>
            <wp:docPr id="7" name="Picutre 7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9"/>
                    <a:stretch/>
                  </pic:blipFill>
                  <pic:spPr>
                    <a:xfrm>
                      <a:ext cx="3602990" cy="2243455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2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Рис. 3. Схеми АТФП: а) кожухотрубний; б) капсульний; 1 - корпус; 2 - ТАМ;</w:t>
      </w:r>
    </w:p>
    <w:p>
      <w:pPr>
        <w:pStyle w:val="Style2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З - теплоносій; 4 - вхідний патрубок; 5 - вихідний патрубок; 6 - трубна дошка;</w:t>
      </w:r>
    </w:p>
    <w:p>
      <w:pPr>
        <w:pStyle w:val="Style2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7 - обмежувальна сітка.</w:t>
      </w:r>
    </w:p>
    <w:p>
      <w:pPr>
        <w:pStyle w:val="Style2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both"/>
        <w:rPr>
          <w:sz w:val="18"/>
          <w:szCs w:val="18"/>
        </w:rPr>
      </w:pPr>
      <w:r>
        <w:rPr>
          <w:color w:val="000000"/>
          <w:spacing w:val="0"/>
          <w:w w:val="100"/>
          <w:position w:val="0"/>
          <w:sz w:val="18"/>
          <w:szCs w:val="18"/>
        </w:rPr>
        <w:t>Для сонячних систем теплопостачання в акумуляторах фазового перех .._, найбільш придатні органічні речовини (парафін і деякі жирні кислоти) і кристалогідрати неорганічних солей. Акумулятори, що використають теплоту</w:t>
      </w: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фазового переходу, мають більшу об'ємну енергоємність, дякуючи чому істотно зменшуються маса й обсяг акумулятора в порівнянні з водяними та твердими акумуляторами, і постійну робочу температуру, низький тиск.</w:t>
      </w: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Разом з тим вказані типи акумуляторів мають ряд недоліків: корозійна активність, деградація в часі й висока вартість. 13 основному мають низький коефіцієнт теплопровідності, в наслідок чого вони вимагають розвинених поверхонь теплообміну, змінюють об’єм при плавленні. При використанні кристалогідратів можливий поділ суміші і її переохолодження, що викликають нестабільність цих недорогих речовин і зниження числа робочих циклів. Для реального застосування розглядаються тільки речовини, що не розкладаються при плавленні, або розчиняються в надлишковій воді, що входить до складу ТАМ. З метою забезпечення кристалізації з малим переохолодженням рідини необхідно застосування речовин, що є первинними центрами кристалізації. Для блокування поділу фаз або застосовуються загусники (грануляцію, додавання каталізаторів кристалізації й ін.), або інтенсивне перемішування в процесі теплообміну [6].</w:t>
      </w: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Проаналізувавши переваги та недоліки існуючих конструкцій теплоакумуляторів, та врахувавши особливості котеджного будівництва, можна зробити висновок про те, що сезонні акумулятори теплоти повинні </w:t>
      </w:r>
      <w:r>
        <w:rPr>
          <w:b/>
          <w:bCs/>
          <w:color w:val="000000"/>
          <w:spacing w:val="0"/>
          <w:w w:val="100"/>
          <w:position w:val="0"/>
        </w:rPr>
        <w:t>відповідати наступним основним вимогам:</w:t>
      </w:r>
    </w:p>
    <w:p>
      <w:pPr>
        <w:pStyle w:val="Style22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687" w:val="left"/>
        </w:tabs>
        <w:bidi w:val="0"/>
        <w:spacing w:before="0" w:after="0" w:line="240" w:lineRule="auto"/>
        <w:ind w:left="0" w:right="0" w:firstLine="480"/>
        <w:jc w:val="both"/>
      </w:pPr>
      <w:bookmarkStart w:id="3" w:name="bookmark3"/>
      <w:bookmarkEnd w:id="3"/>
      <w:r>
        <w:rPr>
          <w:color w:val="000000"/>
          <w:spacing w:val="0"/>
          <w:w w:val="100"/>
          <w:position w:val="0"/>
        </w:rPr>
        <w:t>приймати та віддавати теплоту з максимальною інтенсивністю;</w:t>
      </w:r>
    </w:p>
    <w:p>
      <w:pPr>
        <w:pStyle w:val="Style22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687" w:val="left"/>
        </w:tabs>
        <w:bidi w:val="0"/>
        <w:spacing w:before="0" w:after="0" w:line="240" w:lineRule="auto"/>
        <w:ind w:left="0" w:right="0" w:firstLine="480"/>
        <w:jc w:val="both"/>
      </w:pPr>
      <w:bookmarkStart w:id="4" w:name="bookmark4"/>
      <w:bookmarkEnd w:id="4"/>
      <w:r>
        <w:rPr>
          <w:color w:val="000000"/>
          <w:spacing w:val="0"/>
          <w:w w:val="100"/>
          <w:position w:val="0"/>
        </w:rPr>
        <w:t>мати як найменший об’єм;</w:t>
      </w:r>
    </w:p>
    <w:p>
      <w:pPr>
        <w:pStyle w:val="Style22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687" w:val="left"/>
        </w:tabs>
        <w:bidi w:val="0"/>
        <w:spacing w:before="0" w:after="0" w:line="240" w:lineRule="auto"/>
        <w:ind w:left="0" w:right="0" w:firstLine="480"/>
        <w:jc w:val="both"/>
      </w:pPr>
      <w:bookmarkStart w:id="5" w:name="bookmark5"/>
      <w:bookmarkEnd w:id="5"/>
      <w:r>
        <w:rPr>
          <w:color w:val="000000"/>
          <w:spacing w:val="0"/>
          <w:w w:val="100"/>
          <w:position w:val="0"/>
        </w:rPr>
        <w:t>акумулювати теплоносій з температурою більше 100°С;</w:t>
      </w:r>
    </w:p>
    <w:p>
      <w:pPr>
        <w:pStyle w:val="Style22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682" w:val="left"/>
        </w:tabs>
        <w:bidi w:val="0"/>
        <w:spacing w:before="0" w:after="0" w:line="240" w:lineRule="auto"/>
        <w:ind w:left="0" w:right="0" w:firstLine="480"/>
        <w:jc w:val="both"/>
      </w:pPr>
      <w:bookmarkStart w:id="6" w:name="bookmark6"/>
      <w:bookmarkEnd w:id="6"/>
      <w:r>
        <w:rPr>
          <w:color w:val="000000"/>
          <w:spacing w:val="0"/>
          <w:w w:val="100"/>
          <w:position w:val="0"/>
        </w:rPr>
        <w:t>витримувати велику кількість циклів без суттєвого зменшення потужностей акумулятора;</w:t>
      </w:r>
    </w:p>
    <w:p>
      <w:pPr>
        <w:pStyle w:val="Style22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682" w:val="left"/>
        </w:tabs>
        <w:bidi w:val="0"/>
        <w:spacing w:before="0" w:after="0" w:line="240" w:lineRule="auto"/>
        <w:ind w:left="0" w:right="0" w:firstLine="480"/>
        <w:jc w:val="both"/>
      </w:pPr>
      <w:bookmarkStart w:id="7" w:name="bookmark7"/>
      <w:bookmarkEnd w:id="7"/>
      <w:r>
        <w:rPr>
          <w:color w:val="000000"/>
          <w:spacing w:val="0"/>
          <w:w w:val="100"/>
          <w:position w:val="0"/>
        </w:rPr>
        <w:t>мати недорогі капітальні та експлуатаційні затрати, бути простим в подальшій експлуатації.</w:t>
      </w: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Комплексний розгляд них вимог </w:t>
      </w:r>
      <w:r>
        <w:rPr>
          <w:color w:val="000000"/>
          <w:spacing w:val="0"/>
          <w:w w:val="100"/>
          <w:position w:val="0"/>
        </w:rPr>
        <w:t xml:space="preserve">.дозволив </w:t>
      </w:r>
      <w:r>
        <w:rPr>
          <w:color w:val="000000"/>
          <w:spacing w:val="0"/>
          <w:w w:val="100"/>
          <w:position w:val="0"/>
        </w:rPr>
        <w:t xml:space="preserve">запропонувати конструкцію акумулятора теплоти з комбінованим двокомпонентним рідинно-твердим ТАМом (рис.4), який складається з корпусу 1 з теплоізоляцію 2, в якому розташований твердий теплоакумулюючий матеріал 3, наприклад бетон, у формі куба (або інш. правильної геометричної форми) з вертикальними каналами 5 діаметром </w:t>
      </w:r>
      <w:r>
        <w:rPr>
          <w:color w:val="000000"/>
          <w:spacing w:val="0"/>
          <w:w w:val="100"/>
          <w:position w:val="0"/>
        </w:rPr>
        <w:t xml:space="preserve">d </w:t>
      </w:r>
      <w:r>
        <w:rPr>
          <w:color w:val="000000"/>
          <w:spacing w:val="0"/>
          <w:w w:val="100"/>
          <w:position w:val="0"/>
        </w:rPr>
        <w:t>для циркуляції рідкого ТАМу. Між корпусом 1 та твердим теплоакумулюючим матеріалом 3, по периметру розташований канал 4, шириною ІХтакож заповнений рідким теплоакумулюючим матеріалом. В нижній частині корпусу 1 розташований замонолічений в бетон теплообмінник 6 для зарядки теплоакумулятора від масиву геліоколекторів. У верхній частині - теплообмінник 7 для розрядки теплоакумулятора, омивається рідким ТАМом. Для компенсації об’ємних температурних розширень рідкого теплоакумулюючого матеріалу встановлено мембранний розширювальний бак 8 з підривним клапаном 9. Наведена конструкція сезонного теплоакумулятора захищена авторськими правами на винахід.</w:t>
      </w:r>
      <w:r>
        <w:br w:type="page"/>
      </w:r>
    </w:p>
    <w:p>
      <w:pPr>
        <w:widowControl w:val="0"/>
        <w:spacing w:line="1" w:lineRule="exact"/>
      </w:pPr>
      <w:r>
        <w:drawing>
          <wp:anchor distT="103505" distB="433070" distL="0" distR="0" simplePos="0" relativeHeight="125829382" behindDoc="0" locked="0" layoutInCell="1" allowOverlap="1">
            <wp:simplePos x="0" y="0"/>
            <wp:positionH relativeFrom="page">
              <wp:posOffset>1742440</wp:posOffset>
            </wp:positionH>
            <wp:positionV relativeFrom="paragraph">
              <wp:posOffset>103505</wp:posOffset>
            </wp:positionV>
            <wp:extent cx="2176145" cy="1847215"/>
            <wp:wrapTopAndBottom/>
            <wp:docPr id="8" name="Shape 8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box 9"/>
                    <pic:cNvPicPr/>
                  </pic:nvPicPr>
                  <pic:blipFill>
                    <a:blip r:embed="rId11"/>
                    <a:stretch/>
                  </pic:blipFill>
                  <pic:spPr>
                    <a:xfrm>
                      <a:ext cx="2176145" cy="1847215"/>
                    </a:xfrm>
                    <a:prstGeom prst="rect"/>
                  </pic:spPr>
                </pic:pic>
              </a:graphicData>
            </a:graphic>
          </wp:anchor>
        </w:drawing>
      </w:r>
      <w:r>
        <mc:AlternateContent>
          <mc:Choice Requires="wps">
            <w:drawing>
              <wp:anchor distT="0" distB="0" distL="0" distR="0" simplePos="0" relativeHeight="503316482" behindDoc="0" locked="0" layoutInCell="1" allowOverlap="1">
                <wp:simplePos x="0" y="0"/>
                <wp:positionH relativeFrom="page">
                  <wp:posOffset>2635250</wp:posOffset>
                </wp:positionH>
                <wp:positionV relativeFrom="paragraph">
                  <wp:posOffset>0</wp:posOffset>
                </wp:positionV>
                <wp:extent cx="234950" cy="140335"/>
                <wp:wrapNone/>
                <wp:docPr id="10" name="Shape 10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34950" cy="14033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  <w:rPr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0"/>
                                <w:w w:val="100"/>
                                <w:position w:val="0"/>
                                <w:sz w:val="17"/>
                                <w:szCs w:val="17"/>
                              </w:rPr>
                              <w:t>А-А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6" type="#_x0000_t202" style="position:absolute;margin-left:207.5pt;margin-top:0;width:18.5pt;height:11.050000000000001pt;z-index:251657729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  <w:rPr>
                          <w:sz w:val="17"/>
                          <w:szCs w:val="17"/>
                        </w:rPr>
                      </w:pPr>
                      <w:r>
                        <w:rPr>
                          <w:rFonts w:ascii="Arial" w:eastAsia="Arial" w:hAnsi="Arial" w:cs="Arial"/>
                          <w:color w:val="000000"/>
                          <w:spacing w:val="0"/>
                          <w:w w:val="100"/>
                          <w:position w:val="0"/>
                          <w:sz w:val="17"/>
                          <w:szCs w:val="17"/>
                        </w:rPr>
                        <w:t>А-А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drawing>
          <wp:anchor distT="155575" distB="350520" distL="1657985" distR="0" simplePos="0" relativeHeight="125829383" behindDoc="0" locked="0" layoutInCell="1" allowOverlap="1">
            <wp:simplePos x="0" y="0"/>
            <wp:positionH relativeFrom="page">
              <wp:posOffset>3988435</wp:posOffset>
            </wp:positionH>
            <wp:positionV relativeFrom="paragraph">
              <wp:posOffset>155575</wp:posOffset>
            </wp:positionV>
            <wp:extent cx="2030095" cy="1877695"/>
            <wp:wrapTopAndBottom/>
            <wp:docPr id="12" name="Shape 12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box 13"/>
                    <pic:cNvPicPr/>
                  </pic:nvPicPr>
                  <pic:blipFill>
                    <a:blip r:embed="rId13"/>
                    <a:stretch/>
                  </pic:blipFill>
                  <pic:spPr>
                    <a:xfrm>
                      <a:ext cx="2030095" cy="1877695"/>
                    </a:xfrm>
                    <a:prstGeom prst="rect"/>
                  </pic:spPr>
                </pic:pic>
              </a:graphicData>
            </a:graphic>
          </wp:anchor>
        </w:drawing>
      </w:r>
      <w:r>
        <mc:AlternateContent>
          <mc:Choice Requires="wps">
            <w:drawing>
              <wp:anchor distT="0" distB="0" distL="0" distR="0" simplePos="0" relativeHeight="503316484" behindDoc="0" locked="0" layoutInCell="1" allowOverlap="1">
                <wp:simplePos x="0" y="0"/>
                <wp:positionH relativeFrom="page">
                  <wp:posOffset>4728845</wp:posOffset>
                </wp:positionH>
                <wp:positionV relativeFrom="paragraph">
                  <wp:posOffset>0</wp:posOffset>
                </wp:positionV>
                <wp:extent cx="219710" cy="140335"/>
                <wp:wrapNone/>
                <wp:docPr id="14" name="Shape 14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19710" cy="14033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  <w:rPr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0"/>
                                <w:w w:val="100"/>
                                <w:position w:val="0"/>
                                <w:sz w:val="17"/>
                                <w:szCs w:val="17"/>
                              </w:rPr>
                              <w:t>В-В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0" type="#_x0000_t202" style="position:absolute;margin-left:372.35000000000002pt;margin-top:0;width:17.300000000000001pt;height:11.050000000000001pt;z-index:251657731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  <w:rPr>
                          <w:sz w:val="17"/>
                          <w:szCs w:val="17"/>
                        </w:rPr>
                      </w:pPr>
                      <w:r>
                        <w:rPr>
                          <w:rFonts w:ascii="Arial" w:eastAsia="Arial" w:hAnsi="Arial" w:cs="Arial"/>
                          <w:color w:val="000000"/>
                          <w:spacing w:val="0"/>
                          <w:w w:val="100"/>
                          <w:position w:val="0"/>
                          <w:sz w:val="17"/>
                          <w:szCs w:val="17"/>
                        </w:rPr>
                        <w:t>В-В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mc:AlternateContent>
          <mc:Choice Requires="wps">
            <w:drawing>
              <wp:anchor distT="0" distB="0" distL="0" distR="0" simplePos="0" relativeHeight="503316486" behindDoc="0" locked="0" layoutInCell="1" allowOverlap="1">
                <wp:simplePos x="0" y="0"/>
                <wp:positionH relativeFrom="page">
                  <wp:posOffset>2330450</wp:posOffset>
                </wp:positionH>
                <wp:positionV relativeFrom="paragraph">
                  <wp:posOffset>2179320</wp:posOffset>
                </wp:positionV>
                <wp:extent cx="3215640" cy="128270"/>
                <wp:wrapNone/>
                <wp:docPr id="16" name="Shape 16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3215640" cy="12827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center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Рис.4. Конструкція комбінованого теплоакумулятора з комбінованим ТАМом.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2" type="#_x0000_t202" style="position:absolute;margin-left:183.5pt;margin-top:171.59999999999999pt;width:253.20000000000002pt;height:10.1pt;z-index:251657733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center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Рис.4. Конструкція комбінованого теплоакумулятора з комбінованим ТАМом.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Для порівняння та якісної оцінки процесів зарядки теплоакумулятора з комбінованим двокомпонентним рідинно-твердим ТАМом та акумулятора з твердим ТАМом (рис.5) було застосовано програмний комплекс </w:t>
      </w:r>
      <w:r>
        <w:rPr>
          <w:color w:val="000000"/>
          <w:spacing w:val="0"/>
          <w:w w:val="100"/>
          <w:position w:val="0"/>
        </w:rPr>
        <w:t>SolidWorks.</w:t>
      </w:r>
    </w:p>
    <w:p>
      <w:pPr>
        <w:widowControl w:val="0"/>
        <w:spacing w:line="1" w:lineRule="exact"/>
      </w:pPr>
      <w:r>
        <w:drawing>
          <wp:anchor distT="88900" distB="298450" distL="1082040" distR="1094105" simplePos="0" relativeHeight="125829384" behindDoc="0" locked="0" layoutInCell="1" allowOverlap="1">
            <wp:simplePos x="0" y="0"/>
            <wp:positionH relativeFrom="page">
              <wp:posOffset>2849245</wp:posOffset>
            </wp:positionH>
            <wp:positionV relativeFrom="paragraph">
              <wp:posOffset>88900</wp:posOffset>
            </wp:positionV>
            <wp:extent cx="1865630" cy="2438400"/>
            <wp:wrapTopAndBottom/>
            <wp:docPr id="18" name="Shape 18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box 19"/>
                    <pic:cNvPicPr/>
                  </pic:nvPicPr>
                  <pic:blipFill>
                    <a:blip r:embed="rId15"/>
                    <a:stretch/>
                  </pic:blipFill>
                  <pic:spPr>
                    <a:xfrm>
                      <a:ext cx="1865630" cy="2438400"/>
                    </a:xfrm>
                    <a:prstGeom prst="rect"/>
                  </pic:spPr>
                </pic:pic>
              </a:graphicData>
            </a:graphic>
          </wp:anchor>
        </w:drawing>
      </w:r>
      <w:r>
        <mc:AlternateContent>
          <mc:Choice Requires="wps">
            <w:drawing>
              <wp:anchor distT="0" distB="0" distL="0" distR="0" simplePos="0" relativeHeight="503316488" behindDoc="0" locked="0" layoutInCell="1" allowOverlap="1">
                <wp:simplePos x="0" y="0"/>
                <wp:positionH relativeFrom="page">
                  <wp:posOffset>1767205</wp:posOffset>
                </wp:positionH>
                <wp:positionV relativeFrom="paragraph">
                  <wp:posOffset>2585085</wp:posOffset>
                </wp:positionV>
                <wp:extent cx="4041775" cy="237490"/>
                <wp:wrapNone/>
                <wp:docPr id="20" name="Shape 20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4041775" cy="23749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center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Рис.5. Конструкція ТА з бетонним ТАМом. 1 - корпус; 2 - теплоізоляція; 3 - твердий теплоакумулюючий матеріал (бетон); 4 - теплообмінник зарядки ТА; 5 - теплообмінник розрядки.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6" type="#_x0000_t202" style="position:absolute;margin-left:139.15000000000001pt;margin-top:203.55000000000001pt;width:318.25pt;height:18.699999999999999pt;z-index:251657735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center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Рис.5. Конструкція ТА з бетонним ТАМом. 1 - корпус; 2 - теплоізоляція; 3 - твердий теплоакумулюючий матеріал (бетон); 4 - теплообмінник зарядки ТА; 5 - теплообмінник розрядки.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680"/>
        <w:jc w:val="both"/>
      </w:pPr>
      <w:r>
        <w:rPr>
          <w:color w:val="000000"/>
          <w:spacing w:val="0"/>
          <w:w w:val="100"/>
          <w:position w:val="0"/>
        </w:rPr>
        <w:t xml:space="preserve">Геометричні розміри теплового акумулятора </w:t>
      </w:r>
      <w:r>
        <w:rPr>
          <w:color w:val="000000"/>
          <w:spacing w:val="0"/>
          <w:w w:val="100"/>
          <w:position w:val="0"/>
        </w:rPr>
        <w:t xml:space="preserve">(axbxh) </w:t>
      </w:r>
      <w:r>
        <w:rPr>
          <w:color w:val="000000"/>
          <w:spacing w:val="0"/>
          <w:w w:val="100"/>
          <w:position w:val="0"/>
        </w:rPr>
        <w:t>за аналітичними</w:t>
      </w: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0" w:line="266" w:lineRule="auto"/>
        <w:ind w:left="20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розрахунками склали </w:t>
      </w:r>
      <w:r>
        <w:rPr>
          <w:color w:val="000000"/>
          <w:spacing w:val="0"/>
          <w:w w:val="100"/>
          <w:position w:val="0"/>
        </w:rPr>
        <w:t xml:space="preserve">8,1x8,1x3,65 </w:t>
      </w:r>
      <w:r>
        <w:rPr>
          <w:color w:val="000000"/>
          <w:spacing w:val="0"/>
          <w:w w:val="100"/>
          <w:position w:val="0"/>
        </w:rPr>
        <w:t>м при його теплоакумулюючій здатності 51,2ГДж достатній для теплопостачання котеджного будинку площею 250 м</w:t>
      </w:r>
      <w:r>
        <w:rPr>
          <w:color w:val="000000"/>
          <w:spacing w:val="0"/>
          <w:w w:val="100"/>
          <w:position w:val="0"/>
          <w:vertAlign w:val="superscript"/>
        </w:rPr>
        <w:t>2</w:t>
      </w:r>
      <w:r>
        <w:rPr>
          <w:color w:val="000000"/>
          <w:spacing w:val="0"/>
          <w:w w:val="100"/>
          <w:position w:val="0"/>
        </w:rPr>
        <w:t xml:space="preserve"> в холодний період року. Місце найкращого розташування сезонного акумулятору - в підвалі будинку, що збільшує теплову ефективність комплексу «будинок- акумулятор» на величину тепловтрат через підлогу першого поверху та частину непродуктивних трансмісійних тепловтрат від акумулятора до грунту при зберіганні теплоти.</w:t>
      </w: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0" w:line="266" w:lineRule="auto"/>
        <w:ind w:left="20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На рис.6 проілюстровано головну проблему теплового акумулятора з бетонним тепплоакумулючим матеріалом, а саме нерівномірний розподіл температур в масиві об’єму бетону, що зменшує питому теплонакопичувальну здатність акумулятора, </w:t>
      </w:r>
      <w:r>
        <w:rPr>
          <w:color w:val="000000"/>
          <w:spacing w:val="0"/>
          <w:w w:val="100"/>
          <w:position w:val="0"/>
        </w:rPr>
        <w:t xml:space="preserve">w, </w:t>
      </w:r>
      <w:r>
        <w:rPr>
          <w:color w:val="000000"/>
          <w:spacing w:val="0"/>
          <w:w w:val="100"/>
          <w:position w:val="0"/>
        </w:rPr>
        <w:t>кВт/м</w:t>
      </w:r>
      <w:r>
        <w:rPr>
          <w:color w:val="000000"/>
          <w:spacing w:val="0"/>
          <w:w w:val="100"/>
          <w:position w:val="0"/>
          <w:vertAlign w:val="superscript"/>
        </w:rPr>
        <w:t>3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>Так при зарядці теплоакумулятора теплоносієм з температурою 160 °С мінімальна температура в об’ємі твердотілого ТАМу (бетону) складає всього 65,4 °С.</w:t>
      </w:r>
    </w:p>
    <w:p>
      <w:pPr>
        <w:widowControl w:val="0"/>
        <w:jc w:val="center"/>
        <w:rPr>
          <w:sz w:val="2"/>
          <w:szCs w:val="2"/>
        </w:rPr>
      </w:pPr>
      <w:r>
        <w:drawing>
          <wp:inline>
            <wp:extent cx="4243070" cy="2188210"/>
            <wp:docPr id="22" name="Picutre 22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22"/>
                    <pic:cNvPicPr/>
                  </pic:nvPicPr>
                  <pic:blipFill>
                    <a:blip r:embed="rId17"/>
                    <a:stretch/>
                  </pic:blipFill>
                  <pic:spPr>
                    <a:xfrm>
                      <a:ext cx="4243070" cy="218821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2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1166" w:right="0" w:firstLine="0"/>
        <w:jc w:val="left"/>
      </w:pPr>
      <w:r>
        <w:rPr>
          <w:color w:val="000000"/>
          <w:spacing w:val="0"/>
          <w:w w:val="100"/>
          <w:position w:val="0"/>
        </w:rPr>
        <w:t>Рис.6. Конструкція ТА з бетонним ТАМом, результати дослідження.</w:t>
      </w:r>
    </w:p>
    <w:p>
      <w:pPr>
        <w:widowControl w:val="0"/>
        <w:spacing w:after="139" w:line="1" w:lineRule="exact"/>
      </w:pP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80" w:line="266" w:lineRule="auto"/>
        <w:ind w:left="20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Задачу більш рівномірного розподілу температур вирішуємо за рахунок системи каналів, заповнених рідким ТАМом (гліцерином), що знаходяться в каналах масиву твердого ТАМу - бетону. Діаметр каналів та ві.іс'тапь між ними приймається з розрахунку значної вартості рідкого ТАМу. На рис.7 наведені результати моделювання температурного поля акумулятора при діаметрі каналів </w:t>
      </w:r>
      <w:r>
        <w:rPr>
          <w:color w:val="000000"/>
          <w:spacing w:val="0"/>
          <w:w w:val="100"/>
          <w:position w:val="0"/>
        </w:rPr>
        <w:t xml:space="preserve">J </w:t>
      </w:r>
      <w:r>
        <w:rPr>
          <w:color w:val="000000"/>
          <w:spacing w:val="0"/>
          <w:w w:val="100"/>
          <w:position w:val="0"/>
        </w:rPr>
        <w:t>50мм і відстанях між ними /=500мм, товщина прошарку /0 50мм. По результатам видно, що мінімальна температура 67,4 °С та об’єм охолодженої зони зменшився.</w:t>
      </w:r>
      <w:r>
        <w:br w:type="page"/>
      </w:r>
    </w:p>
    <w:p>
      <w:pPr>
        <w:widowControl w:val="0"/>
        <w:jc w:val="center"/>
        <w:rPr>
          <w:sz w:val="2"/>
          <w:szCs w:val="2"/>
        </w:rPr>
      </w:pPr>
      <w:r>
        <w:drawing>
          <wp:inline>
            <wp:extent cx="4370705" cy="2560320"/>
            <wp:docPr id="23" name="Picutre 23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23"/>
                    <pic:cNvPicPr/>
                  </pic:nvPicPr>
                  <pic:blipFill>
                    <a:blip r:embed="rId19"/>
                    <a:stretch/>
                  </pic:blipFill>
                  <pic:spPr>
                    <a:xfrm>
                      <a:ext cx="4370705" cy="256032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2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center"/>
        <w:rPr>
          <w:sz w:val="16"/>
          <w:szCs w:val="16"/>
        </w:rPr>
      </w:pPr>
      <w:r>
        <w:rPr>
          <w:color w:val="000000"/>
          <w:spacing w:val="0"/>
          <w:w w:val="100"/>
          <w:position w:val="0"/>
          <w:sz w:val="16"/>
          <w:szCs w:val="16"/>
        </w:rPr>
        <w:t>Рис.7. Конструкція комбінованого ТА з твердим (бетон) та рідким (гліцерин) ТАМом, результати дослідження.</w:t>
      </w:r>
    </w:p>
    <w:p>
      <w:pPr>
        <w:widowControl w:val="0"/>
        <w:spacing w:after="139" w:line="1" w:lineRule="exact"/>
      </w:pPr>
    </w:p>
    <w:p>
      <w:pPr>
        <w:pStyle w:val="Style29"/>
        <w:keepNext/>
        <w:keepLines/>
        <w:widowControl w:val="0"/>
        <w:shd w:val="clear" w:color="auto" w:fill="auto"/>
        <w:bidi w:val="0"/>
        <w:spacing w:before="0" w:after="140" w:line="240" w:lineRule="auto"/>
        <w:ind w:left="0" w:right="0" w:firstLine="0"/>
        <w:jc w:val="both"/>
      </w:pPr>
      <w:bookmarkStart w:id="10" w:name="bookmark10"/>
      <w:bookmarkStart w:id="8" w:name="bookmark8"/>
      <w:bookmarkStart w:id="9" w:name="bookmark9"/>
      <w:r>
        <w:rPr>
          <w:color w:val="000000"/>
          <w:spacing w:val="0"/>
          <w:w w:val="100"/>
          <w:position w:val="0"/>
        </w:rPr>
        <w:t>Висновки:</w:t>
      </w:r>
      <w:bookmarkEnd w:id="10"/>
      <w:bookmarkEnd w:id="8"/>
      <w:bookmarkEnd w:id="9"/>
    </w:p>
    <w:p>
      <w:pPr>
        <w:pStyle w:val="Style22"/>
        <w:keepNext w:val="0"/>
        <w:keepLines w:val="0"/>
        <w:widowControl w:val="0"/>
        <w:numPr>
          <w:ilvl w:val="0"/>
          <w:numId w:val="3"/>
        </w:numPr>
        <w:shd w:val="clear" w:color="auto" w:fill="auto"/>
        <w:tabs>
          <w:tab w:pos="619" w:val="left"/>
        </w:tabs>
        <w:bidi w:val="0"/>
        <w:spacing w:before="0" w:after="0" w:line="240" w:lineRule="auto"/>
        <w:ind w:left="0" w:right="0" w:firstLine="360"/>
        <w:jc w:val="both"/>
      </w:pPr>
      <w:bookmarkStart w:id="11" w:name="bookmark11"/>
      <w:bookmarkEnd w:id="11"/>
      <w:r>
        <w:rPr>
          <w:color w:val="000000"/>
          <w:spacing w:val="0"/>
          <w:w w:val="100"/>
          <w:position w:val="0"/>
        </w:rPr>
        <w:t xml:space="preserve">Теплові акумулятори з рідким теплоакумулюючим матеріалом - водою, доцільно використовувати для температур до 100 </w:t>
      </w:r>
      <w:r>
        <w:rPr>
          <w:color w:val="000000"/>
          <w:spacing w:val="0"/>
          <w:w w:val="100"/>
          <w:position w:val="0"/>
          <w:vertAlign w:val="superscript"/>
        </w:rPr>
        <w:t>0</w:t>
      </w:r>
      <w:r>
        <w:rPr>
          <w:color w:val="000000"/>
          <w:spacing w:val="0"/>
          <w:w w:val="100"/>
          <w:position w:val="0"/>
        </w:rPr>
        <w:t>С.</w:t>
      </w:r>
    </w:p>
    <w:p>
      <w:pPr>
        <w:pStyle w:val="Style22"/>
        <w:keepNext w:val="0"/>
        <w:keepLines w:val="0"/>
        <w:widowControl w:val="0"/>
        <w:numPr>
          <w:ilvl w:val="0"/>
          <w:numId w:val="3"/>
        </w:numPr>
        <w:shd w:val="clear" w:color="auto" w:fill="auto"/>
        <w:tabs>
          <w:tab w:pos="615" w:val="left"/>
        </w:tabs>
        <w:bidi w:val="0"/>
        <w:spacing w:before="0" w:after="0" w:line="240" w:lineRule="auto"/>
        <w:ind w:left="0" w:right="0" w:firstLine="360"/>
        <w:jc w:val="both"/>
      </w:pPr>
      <w:bookmarkStart w:id="12" w:name="bookmark12"/>
      <w:bookmarkEnd w:id="12"/>
      <w:r>
        <w:rPr>
          <w:color w:val="000000"/>
          <w:spacing w:val="0"/>
          <w:w w:val="100"/>
          <w:position w:val="0"/>
        </w:rPr>
        <w:t>Теплові акумулятори, що використовують теплоту фазового переходу мають високі капітальні затрати та складнощі в експлуатації.</w:t>
      </w:r>
    </w:p>
    <w:p>
      <w:pPr>
        <w:pStyle w:val="Style22"/>
        <w:keepNext w:val="0"/>
        <w:keepLines w:val="0"/>
        <w:widowControl w:val="0"/>
        <w:numPr>
          <w:ilvl w:val="0"/>
          <w:numId w:val="3"/>
        </w:numPr>
        <w:shd w:val="clear" w:color="auto" w:fill="auto"/>
        <w:tabs>
          <w:tab w:pos="615" w:val="left"/>
        </w:tabs>
        <w:bidi w:val="0"/>
        <w:spacing w:before="0" w:after="0" w:line="240" w:lineRule="auto"/>
        <w:ind w:left="0" w:right="0" w:firstLine="360"/>
        <w:jc w:val="both"/>
      </w:pPr>
      <w:bookmarkStart w:id="13" w:name="bookmark13"/>
      <w:bookmarkEnd w:id="13"/>
      <w:r>
        <w:rPr>
          <w:color w:val="000000"/>
          <w:spacing w:val="0"/>
          <w:w w:val="100"/>
          <w:position w:val="0"/>
        </w:rPr>
        <w:t>Теплові акумулятори з твердим теплоакумулюючим матеріалом має основний недолік - нерівномірність розподілу температур в об’ємі теплового акумулятора.</w:t>
      </w:r>
    </w:p>
    <w:p>
      <w:pPr>
        <w:pStyle w:val="Style22"/>
        <w:keepNext w:val="0"/>
        <w:keepLines w:val="0"/>
        <w:widowControl w:val="0"/>
        <w:numPr>
          <w:ilvl w:val="0"/>
          <w:numId w:val="3"/>
        </w:numPr>
        <w:shd w:val="clear" w:color="auto" w:fill="auto"/>
        <w:tabs>
          <w:tab w:pos="619" w:val="left"/>
        </w:tabs>
        <w:bidi w:val="0"/>
        <w:spacing w:before="0" w:after="200" w:line="240" w:lineRule="auto"/>
        <w:ind w:left="0" w:right="0" w:firstLine="360"/>
        <w:jc w:val="both"/>
      </w:pPr>
      <w:bookmarkStart w:id="14" w:name="bookmark14"/>
      <w:bookmarkEnd w:id="14"/>
      <w:r>
        <w:rPr>
          <w:color w:val="000000"/>
          <w:spacing w:val="0"/>
          <w:w w:val="100"/>
          <w:position w:val="0"/>
        </w:rPr>
        <w:t>Покращити розподіл температур в об’ємі теплового акумулятора з твердим ТАМом можливо за рахунок каналів з рідким ТАМом, які знаходяться їв об’ємі твердого ТАМу.</w:t>
      </w:r>
    </w:p>
    <w:p>
      <w:pPr>
        <w:pStyle w:val="Style29"/>
        <w:keepNext/>
        <w:keepLines/>
        <w:widowControl w:val="0"/>
        <w:shd w:val="clear" w:color="auto" w:fill="auto"/>
        <w:bidi w:val="0"/>
        <w:spacing w:before="0" w:after="0" w:line="223" w:lineRule="auto"/>
        <w:ind w:left="0" w:right="0" w:firstLine="0"/>
        <w:jc w:val="center"/>
      </w:pPr>
      <w:bookmarkStart w:id="15" w:name="bookmark15"/>
      <w:bookmarkStart w:id="16" w:name="bookmark16"/>
      <w:bookmarkStart w:id="17" w:name="bookmark17"/>
      <w:r>
        <w:rPr>
          <w:color w:val="000000"/>
          <w:spacing w:val="0"/>
          <w:w w:val="100"/>
          <w:position w:val="0"/>
        </w:rPr>
        <w:t>Література:</w:t>
      </w:r>
      <w:bookmarkEnd w:id="15"/>
      <w:bookmarkEnd w:id="16"/>
      <w:bookmarkEnd w:id="17"/>
    </w:p>
    <w:p>
      <w:pPr>
        <w:pStyle w:val="Style17"/>
        <w:keepNext w:val="0"/>
        <w:keepLines w:val="0"/>
        <w:widowControl w:val="0"/>
        <w:numPr>
          <w:ilvl w:val="0"/>
          <w:numId w:val="5"/>
        </w:numPr>
        <w:shd w:val="clear" w:color="auto" w:fill="auto"/>
        <w:tabs>
          <w:tab w:pos="592" w:val="left"/>
        </w:tabs>
        <w:bidi w:val="0"/>
        <w:spacing w:before="0" w:after="0" w:line="240" w:lineRule="auto"/>
        <w:ind w:left="0" w:right="0" w:firstLine="360"/>
        <w:jc w:val="both"/>
      </w:pPr>
      <w:bookmarkStart w:id="18" w:name="bookmark18"/>
      <w:bookmarkEnd w:id="18"/>
      <w:r>
        <w:rPr>
          <w:color w:val="000000"/>
          <w:spacing w:val="0"/>
          <w:w w:val="100"/>
          <w:position w:val="0"/>
        </w:rPr>
        <w:t>Інженерне обладнання будинків і споруд. Зовнішні мережі та споруди.Теплові</w:t>
      </w:r>
    </w:p>
    <w:p>
      <w:pPr>
        <w:pStyle w:val="Style17"/>
        <w:keepNext w:val="0"/>
        <w:keepLines w:val="0"/>
        <w:widowControl w:val="0"/>
        <w:shd w:val="clear" w:color="auto" w:fill="auto"/>
        <w:tabs>
          <w:tab w:pos="4144" w:val="left"/>
        </w:tabs>
        <w:bidi w:val="0"/>
        <w:spacing w:before="0" w:after="0" w:line="24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мережі: ДБН В.2.5-39:2008. - [Чинні з 2009-01-07]</w:t>
        <w:tab/>
        <w:t xml:space="preserve">- </w:t>
      </w:r>
      <w:r>
        <w:rPr>
          <w:color w:val="000000"/>
          <w:spacing w:val="0"/>
          <w:w w:val="100"/>
          <w:position w:val="0"/>
        </w:rPr>
        <w:t xml:space="preserve">К.: </w:t>
      </w:r>
      <w:r>
        <w:rPr>
          <w:color w:val="000000"/>
          <w:spacing w:val="0"/>
          <w:w w:val="100"/>
          <w:position w:val="0"/>
        </w:rPr>
        <w:t>ДП «Укрархбудінформ»</w:t>
      </w:r>
    </w:p>
    <w:p>
      <w:pPr>
        <w:pStyle w:val="Style17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Мінрегіонбуду України, 2009. - 79с.</w:t>
      </w:r>
    </w:p>
    <w:p>
      <w:pPr>
        <w:pStyle w:val="Style17"/>
        <w:keepNext w:val="0"/>
        <w:keepLines w:val="0"/>
        <w:widowControl w:val="0"/>
        <w:numPr>
          <w:ilvl w:val="0"/>
          <w:numId w:val="5"/>
        </w:numPr>
        <w:shd w:val="clear" w:color="auto" w:fill="auto"/>
        <w:tabs>
          <w:tab w:pos="603" w:val="left"/>
        </w:tabs>
        <w:bidi w:val="0"/>
        <w:spacing w:before="0" w:after="0" w:line="240" w:lineRule="auto"/>
        <w:ind w:left="0" w:right="0" w:firstLine="360"/>
        <w:jc w:val="both"/>
      </w:pPr>
      <w:bookmarkStart w:id="19" w:name="bookmark19"/>
      <w:bookmarkEnd w:id="19"/>
      <w:r>
        <w:rPr>
          <w:i/>
          <w:iCs/>
          <w:color w:val="000000"/>
          <w:spacing w:val="0"/>
          <w:w w:val="100"/>
          <w:position w:val="0"/>
        </w:rPr>
        <w:t xml:space="preserve">Б. </w:t>
      </w:r>
      <w:r>
        <w:rPr>
          <w:i/>
          <w:iCs/>
          <w:color w:val="000000"/>
          <w:spacing w:val="0"/>
          <w:w w:val="100"/>
          <w:position w:val="0"/>
        </w:rPr>
        <w:t>Андерсон.</w:t>
      </w:r>
      <w:r>
        <w:rPr>
          <w:color w:val="000000"/>
          <w:spacing w:val="0"/>
          <w:w w:val="100"/>
          <w:position w:val="0"/>
        </w:rPr>
        <w:t xml:space="preserve"> Солнечная энергия (основы строительного проектирования)/ Пер. с англ. А.Р. Анисимова; Под ред. Ю.Н. Милевского - М.: Стройиздат, 1982. - 375с.</w:t>
      </w:r>
    </w:p>
    <w:p>
      <w:pPr>
        <w:pStyle w:val="Style17"/>
        <w:keepNext w:val="0"/>
        <w:keepLines w:val="0"/>
        <w:widowControl w:val="0"/>
        <w:numPr>
          <w:ilvl w:val="0"/>
          <w:numId w:val="5"/>
        </w:numPr>
        <w:shd w:val="clear" w:color="auto" w:fill="auto"/>
        <w:tabs>
          <w:tab w:pos="603" w:val="left"/>
        </w:tabs>
        <w:bidi w:val="0"/>
        <w:spacing w:before="0" w:after="0" w:line="240" w:lineRule="auto"/>
        <w:ind w:left="0" w:right="0" w:firstLine="360"/>
        <w:jc w:val="both"/>
      </w:pPr>
      <w:bookmarkStart w:id="20" w:name="bookmark20"/>
      <w:bookmarkEnd w:id="20"/>
      <w:r>
        <w:rPr>
          <w:i/>
          <w:iCs/>
          <w:color w:val="000000"/>
          <w:spacing w:val="0"/>
          <w:w w:val="100"/>
          <w:position w:val="0"/>
        </w:rPr>
        <w:t>Бекман Н.Г., Билли П.</w:t>
      </w:r>
      <w:r>
        <w:rPr>
          <w:color w:val="000000"/>
          <w:spacing w:val="0"/>
          <w:w w:val="100"/>
          <w:position w:val="0"/>
        </w:rPr>
        <w:t xml:space="preserve"> Тепловое аккумулирование энергии./ Пер. с англ. В.Я. Сидорова, Е.В. Сидорова; Под ред. В.М. Бродянского. - М.: Мир, 1987. -272с.</w:t>
      </w:r>
    </w:p>
    <w:p>
      <w:pPr>
        <w:pStyle w:val="Style17"/>
        <w:keepNext w:val="0"/>
        <w:keepLines w:val="0"/>
        <w:widowControl w:val="0"/>
        <w:numPr>
          <w:ilvl w:val="0"/>
          <w:numId w:val="5"/>
        </w:numPr>
        <w:shd w:val="clear" w:color="auto" w:fill="auto"/>
        <w:tabs>
          <w:tab w:pos="603" w:val="left"/>
        </w:tabs>
        <w:bidi w:val="0"/>
        <w:spacing w:before="0" w:after="0" w:line="240" w:lineRule="auto"/>
        <w:ind w:left="0" w:right="0" w:firstLine="360"/>
        <w:jc w:val="both"/>
      </w:pPr>
      <w:bookmarkStart w:id="21" w:name="bookmark21"/>
      <w:bookmarkEnd w:id="21"/>
      <w:r>
        <w:rPr>
          <w:color w:val="000000"/>
          <w:spacing w:val="0"/>
          <w:w w:val="100"/>
          <w:position w:val="0"/>
        </w:rPr>
        <w:t xml:space="preserve">а.с. СССР №1657891 А1, кл. </w:t>
      </w:r>
      <w:r>
        <w:rPr>
          <w:color w:val="000000"/>
          <w:spacing w:val="0"/>
          <w:w w:val="100"/>
          <w:position w:val="0"/>
        </w:rPr>
        <w:t xml:space="preserve">F </w:t>
      </w:r>
      <w:r>
        <w:rPr>
          <w:color w:val="000000"/>
          <w:spacing w:val="0"/>
          <w:w w:val="100"/>
          <w:position w:val="0"/>
        </w:rPr>
        <w:t>24 Н 7/00. Тепловой аккумулятор./ Иванов Д.Я., опубликований 23.06.1991, бюл. № 24.</w:t>
      </w:r>
    </w:p>
    <w:p>
      <w:pPr>
        <w:pStyle w:val="Style17"/>
        <w:keepNext w:val="0"/>
        <w:keepLines w:val="0"/>
        <w:widowControl w:val="0"/>
        <w:numPr>
          <w:ilvl w:val="0"/>
          <w:numId w:val="5"/>
        </w:numPr>
        <w:shd w:val="clear" w:color="auto" w:fill="auto"/>
        <w:tabs>
          <w:tab w:pos="606" w:val="left"/>
        </w:tabs>
        <w:bidi w:val="0"/>
        <w:spacing w:before="0" w:after="0" w:line="240" w:lineRule="auto"/>
        <w:ind w:left="0" w:right="0" w:firstLine="360"/>
        <w:jc w:val="both"/>
      </w:pPr>
      <w:bookmarkStart w:id="22" w:name="bookmark22"/>
      <w:bookmarkEnd w:id="22"/>
      <w:r>
        <w:rPr>
          <w:color w:val="000000"/>
          <w:spacing w:val="0"/>
          <w:w w:val="100"/>
          <w:position w:val="0"/>
        </w:rPr>
        <w:t xml:space="preserve">Тепловой аккумулятор: </w:t>
      </w:r>
      <w:r>
        <w:rPr>
          <w:color w:val="000000"/>
          <w:spacing w:val="0"/>
          <w:w w:val="100"/>
          <w:position w:val="0"/>
        </w:rPr>
        <w:t xml:space="preserve">пат № 2348868 </w:t>
      </w:r>
      <w:r>
        <w:rPr>
          <w:color w:val="000000"/>
          <w:spacing w:val="0"/>
          <w:w w:val="100"/>
          <w:position w:val="0"/>
        </w:rPr>
        <w:t xml:space="preserve">РФ: </w:t>
      </w:r>
      <w:r>
        <w:rPr>
          <w:color w:val="000000"/>
          <w:spacing w:val="0"/>
          <w:w w:val="100"/>
          <w:position w:val="0"/>
        </w:rPr>
        <w:t xml:space="preserve">МПК </w:t>
      </w:r>
      <w:r>
        <w:rPr>
          <w:color w:val="000000"/>
          <w:spacing w:val="0"/>
          <w:w w:val="100"/>
          <w:position w:val="0"/>
        </w:rPr>
        <w:t xml:space="preserve">Cl F24H7/00, </w:t>
      </w:r>
      <w:r>
        <w:rPr>
          <w:color w:val="000000"/>
          <w:spacing w:val="0"/>
          <w:w w:val="100"/>
          <w:position w:val="0"/>
        </w:rPr>
        <w:t>опубликованью</w:t>
      </w:r>
    </w:p>
    <w:p>
      <w:pPr>
        <w:pStyle w:val="Style17"/>
        <w:keepNext w:val="0"/>
        <w:keepLines w:val="0"/>
        <w:widowControl w:val="0"/>
        <w:shd w:val="clear" w:color="auto" w:fill="auto"/>
        <w:tabs>
          <w:tab w:pos="2803" w:val="left"/>
          <w:tab w:pos="5011" w:val="left"/>
        </w:tabs>
        <w:bidi w:val="0"/>
        <w:spacing w:before="0" w:after="0" w:line="24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10.03.2009, кл. </w:t>
      </w:r>
      <w:r>
        <w:rPr>
          <w:color w:val="000000"/>
          <w:spacing w:val="0"/>
          <w:w w:val="100"/>
          <w:position w:val="0"/>
        </w:rPr>
        <w:t xml:space="preserve">F </w:t>
      </w:r>
      <w:r>
        <w:rPr>
          <w:color w:val="000000"/>
          <w:spacing w:val="0"/>
          <w:w w:val="100"/>
          <w:position w:val="0"/>
        </w:rPr>
        <w:t xml:space="preserve">24 Н 7/00 / </w:t>
      </w:r>
      <w:r>
        <w:rPr>
          <w:color w:val="000000"/>
          <w:spacing w:val="0"/>
          <w:w w:val="100"/>
          <w:position w:val="0"/>
        </w:rPr>
        <w:t>Потапенко Иосиф Андреевич, Перекопский Константин Викторович, Харченко Павел Михайлович, Перекопская Елена Анатольевна.(РФ); заявитель</w:t>
        <w:tab/>
        <w:t>и</w:t>
        <w:tab/>
        <w:t>патентообладатель:</w:t>
      </w:r>
    </w:p>
    <w:p>
      <w:pPr>
        <w:pStyle w:val="Style17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Федеральное государственное образовательное учреждение высшего профессионального образования "Кубанский государственный аграрный университет” (РФ) - № 2007124949/06; заявл. 02.07.2007; опубл. 10.03.2009, Бюл. № 7.</w:t>
      </w:r>
    </w:p>
    <w:p>
      <w:pPr>
        <w:pStyle w:val="Style17"/>
        <w:keepNext w:val="0"/>
        <w:keepLines w:val="0"/>
        <w:widowControl w:val="0"/>
        <w:numPr>
          <w:ilvl w:val="0"/>
          <w:numId w:val="5"/>
        </w:numPr>
        <w:shd w:val="clear" w:color="auto" w:fill="auto"/>
        <w:tabs>
          <w:tab w:pos="606" w:val="left"/>
        </w:tabs>
        <w:bidi w:val="0"/>
        <w:spacing w:before="0" w:after="0" w:line="240" w:lineRule="auto"/>
        <w:ind w:left="0" w:right="0" w:firstLine="360"/>
        <w:jc w:val="both"/>
      </w:pPr>
      <w:bookmarkStart w:id="23" w:name="bookmark23"/>
      <w:bookmarkEnd w:id="23"/>
      <w:r>
        <w:rPr>
          <w:i/>
          <w:iCs/>
          <w:color w:val="000000"/>
          <w:spacing w:val="0"/>
          <w:w w:val="100"/>
          <w:position w:val="0"/>
        </w:rPr>
        <w:t xml:space="preserve">Любарецъ О.П., </w:t>
      </w:r>
      <w:r>
        <w:rPr>
          <w:i/>
          <w:iCs/>
          <w:color w:val="000000"/>
          <w:spacing w:val="0"/>
          <w:w w:val="100"/>
          <w:position w:val="0"/>
        </w:rPr>
        <w:t xml:space="preserve">Москвітіна </w:t>
      </w:r>
      <w:r>
        <w:rPr>
          <w:i/>
          <w:iCs/>
          <w:color w:val="000000"/>
          <w:spacing w:val="0"/>
          <w:w w:val="100"/>
          <w:position w:val="0"/>
        </w:rPr>
        <w:t>А.С.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>Техніко-економічне обгрунтування використання теплоакумулюючих матеріалів для систем міжсезонного сонячного теплопостачання// Науково-технічний збірник «Вентиляція, Освітлення та теплогазопостачння» - випуск № 17,К.: КЛУБА, 2014. -с.115-119.</w:t>
      </w:r>
    </w:p>
    <w:p>
      <w:pPr>
        <w:pStyle w:val="Style17"/>
        <w:keepNext w:val="0"/>
        <w:keepLines w:val="0"/>
        <w:widowControl w:val="0"/>
        <w:numPr>
          <w:ilvl w:val="0"/>
          <w:numId w:val="5"/>
        </w:numPr>
        <w:shd w:val="clear" w:color="auto" w:fill="auto"/>
        <w:tabs>
          <w:tab w:pos="601" w:val="left"/>
        </w:tabs>
        <w:bidi w:val="0"/>
        <w:spacing w:before="0" w:after="340" w:line="240" w:lineRule="auto"/>
        <w:ind w:left="0" w:right="0" w:firstLine="360"/>
        <w:jc w:val="both"/>
      </w:pPr>
      <w:bookmarkStart w:id="24" w:name="bookmark24"/>
      <w:bookmarkEnd w:id="24"/>
      <w:r>
        <w:rPr>
          <w:i/>
          <w:iCs/>
          <w:color w:val="000000"/>
          <w:spacing w:val="0"/>
          <w:w w:val="100"/>
          <w:position w:val="0"/>
        </w:rPr>
        <w:t xml:space="preserve">Левенберг В.Д., Ткач М.Р, </w:t>
      </w:r>
      <w:r>
        <w:rPr>
          <w:i/>
          <w:iCs/>
          <w:color w:val="000000"/>
          <w:spacing w:val="0"/>
          <w:w w:val="100"/>
          <w:position w:val="0"/>
        </w:rPr>
        <w:t xml:space="preserve">Голъстрем </w:t>
      </w:r>
      <w:r>
        <w:rPr>
          <w:i/>
          <w:iCs/>
          <w:color w:val="000000"/>
          <w:spacing w:val="0"/>
          <w:w w:val="100"/>
          <w:position w:val="0"/>
        </w:rPr>
        <w:t>В.</w:t>
      </w:r>
      <w:r>
        <w:rPr>
          <w:i/>
          <w:iCs/>
          <w:color w:val="000000"/>
          <w:spacing w:val="0"/>
          <w:w w:val="100"/>
          <w:position w:val="0"/>
        </w:rPr>
        <w:t>А.</w:t>
      </w:r>
      <w:r>
        <w:rPr>
          <w:color w:val="000000"/>
          <w:spacing w:val="0"/>
          <w:w w:val="100"/>
          <w:position w:val="0"/>
        </w:rPr>
        <w:t xml:space="preserve"> Аккумулирование </w:t>
      </w:r>
      <w:r>
        <w:rPr>
          <w:color w:val="000000"/>
          <w:spacing w:val="0"/>
          <w:w w:val="100"/>
          <w:position w:val="0"/>
        </w:rPr>
        <w:t xml:space="preserve">тепла. - К.: </w:t>
      </w:r>
      <w:r>
        <w:rPr>
          <w:color w:val="000000"/>
          <w:spacing w:val="0"/>
          <w:w w:val="100"/>
          <w:position w:val="0"/>
        </w:rPr>
        <w:t xml:space="preserve">«Тэхника», </w:t>
      </w:r>
      <w:r>
        <w:rPr>
          <w:color w:val="000000"/>
          <w:spacing w:val="0"/>
          <w:w w:val="100"/>
          <w:position w:val="0"/>
        </w:rPr>
        <w:t>1991. -112 с.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line="233" w:lineRule="auto"/>
        <w:ind w:right="0"/>
        <w:jc w:val="both"/>
      </w:pPr>
      <w:r>
        <w:rPr>
          <w:color w:val="000000"/>
          <w:spacing w:val="0"/>
          <w:w w:val="100"/>
          <w:position w:val="0"/>
        </w:rPr>
        <w:t xml:space="preserve">Анализ конструкции сезонных </w:t>
      </w:r>
      <w:r>
        <w:rPr>
          <w:color w:val="000000"/>
          <w:spacing w:val="0"/>
          <w:w w:val="100"/>
          <w:position w:val="0"/>
        </w:rPr>
        <w:t xml:space="preserve">теплоаккумуляторов для </w:t>
      </w:r>
      <w:r>
        <w:rPr>
          <w:color w:val="000000"/>
          <w:spacing w:val="0"/>
          <w:w w:val="100"/>
          <w:position w:val="0"/>
        </w:rPr>
        <w:t xml:space="preserve">обеспечения </w:t>
      </w:r>
      <w:r>
        <w:rPr>
          <w:color w:val="000000"/>
          <w:spacing w:val="0"/>
          <w:w w:val="100"/>
          <w:position w:val="0"/>
        </w:rPr>
        <w:t xml:space="preserve">систем </w:t>
      </w:r>
      <w:r>
        <w:rPr>
          <w:color w:val="000000"/>
          <w:spacing w:val="0"/>
          <w:w w:val="100"/>
          <w:position w:val="0"/>
        </w:rPr>
        <w:t>горячего водоснабжения и отопления в коттеджном строительстве</w:t>
      </w: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160" w:line="262" w:lineRule="auto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 xml:space="preserve">А.П. </w:t>
      </w:r>
      <w:r>
        <w:rPr>
          <w:color w:val="000000"/>
          <w:spacing w:val="0"/>
          <w:w w:val="100"/>
          <w:position w:val="0"/>
        </w:rPr>
        <w:t xml:space="preserve">Любарец, </w:t>
      </w:r>
      <w:r>
        <w:rPr>
          <w:color w:val="000000"/>
          <w:spacing w:val="0"/>
          <w:w w:val="100"/>
          <w:position w:val="0"/>
        </w:rPr>
        <w:t>А.С. Москвитина</w:t>
      </w:r>
    </w:p>
    <w:p>
      <w:pPr>
        <w:pStyle w:val="Style17"/>
        <w:keepNext w:val="0"/>
        <w:keepLines w:val="0"/>
        <w:widowControl w:val="0"/>
        <w:shd w:val="clear" w:color="auto" w:fill="auto"/>
        <w:bidi w:val="0"/>
        <w:spacing w:before="0" w:after="160" w:line="233" w:lineRule="auto"/>
        <w:ind w:left="460" w:right="0"/>
        <w:jc w:val="both"/>
        <w:rPr>
          <w:sz w:val="15"/>
          <w:szCs w:val="15"/>
        </w:rPr>
      </w:pPr>
      <w:r>
        <w:rPr>
          <w:i/>
          <w:iCs/>
          <w:color w:val="000000"/>
          <w:spacing w:val="0"/>
          <w:w w:val="100"/>
          <w:position w:val="0"/>
          <w:sz w:val="15"/>
          <w:szCs w:val="15"/>
        </w:rPr>
        <w:t>Проведен обзор основных конструкций организованных сезонных аккумуляторов теплоты. Рассмотрены преимущества и недостатки следующих конструкций сезонных аккумуляторов: водяной аккумулятор теплоты, аккумулятор теплоты с твердым теплоаккумулирующим материалом, аккумулятор теплоты с использованием теплоты фазового перехода. Установлены характерные особенности конструкции сезонного аккумулятора теплоты для коттеджного строительства.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line="240" w:lineRule="auto"/>
        <w:ind w:right="0"/>
        <w:jc w:val="both"/>
      </w:pPr>
      <w:r>
        <w:rPr>
          <w:color w:val="000000"/>
          <w:spacing w:val="0"/>
          <w:w w:val="100"/>
          <w:position w:val="0"/>
        </w:rPr>
        <w:t>Ключевые слова: сезонный аккумулятор теплоты, конструкция сезонного аккумулятора теплоты, теплоёмкий аккумулятор теплоты, теплоаккумулятор с использованием теплоты фазового перехода.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line="240" w:lineRule="auto"/>
        <w:ind w:right="0"/>
        <w:jc w:val="both"/>
      </w:pPr>
      <w:r>
        <w:rPr>
          <w:i/>
          <w:iCs/>
          <w:color w:val="000000"/>
          <w:spacing w:val="0"/>
          <w:w w:val="100"/>
          <w:position w:val="0"/>
        </w:rPr>
        <w:t>Analysis of the structures of seasonal storage tank for hot waterand heating in the cottage construction</w:t>
      </w:r>
    </w:p>
    <w:p>
      <w:pPr>
        <w:pStyle w:val="Style22"/>
        <w:keepNext w:val="0"/>
        <w:keepLines w:val="0"/>
        <w:widowControl w:val="0"/>
        <w:shd w:val="clear" w:color="auto" w:fill="auto"/>
        <w:bidi w:val="0"/>
        <w:spacing w:before="0" w:after="160" w:line="262" w:lineRule="auto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>O. Liubarets, A. Moskvitina</w:t>
      </w:r>
    </w:p>
    <w:p>
      <w:pPr>
        <w:pStyle w:val="Style17"/>
        <w:keepNext w:val="0"/>
        <w:keepLines w:val="0"/>
        <w:widowControl w:val="0"/>
        <w:shd w:val="clear" w:color="auto" w:fill="auto"/>
        <w:bidi w:val="0"/>
        <w:spacing w:before="0" w:after="160" w:line="233" w:lineRule="auto"/>
        <w:ind w:left="460" w:right="0"/>
        <w:jc w:val="both"/>
        <w:rPr>
          <w:sz w:val="15"/>
          <w:szCs w:val="15"/>
        </w:rPr>
      </w:pPr>
      <w:r>
        <w:rPr>
          <w:i/>
          <w:iCs/>
          <w:color w:val="000000"/>
          <w:spacing w:val="0"/>
          <w:w w:val="100"/>
          <w:position w:val="0"/>
          <w:sz w:val="15"/>
          <w:szCs w:val="15"/>
        </w:rPr>
        <w:t>Carriedoverview of the main structures of organized seasonal heat accumulators. Discusses the benefits and disadvantages of these constructions seasonal batteries: a water battery heat, heat the battery with a solid heat storage material, the heat accumulator using the heat of phase transition. The characteristic design features of a seasonal heat accumulator for cottage construction.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line="240" w:lineRule="auto"/>
        <w:ind w:right="0"/>
        <w:jc w:val="both"/>
      </w:pPr>
      <w:r>
        <w:rPr>
          <w:color w:val="000000"/>
          <w:spacing w:val="0"/>
          <w:w w:val="100"/>
          <w:position w:val="0"/>
        </w:rPr>
        <w:t>Keywords: seasonal heat accumulator, the construction of seasonal heat accumulator, heat capacity of heat storage, accumulator using the heat ofphase transition.</w:t>
      </w:r>
    </w:p>
    <w:p>
      <w:pPr>
        <w:pStyle w:val="Style17"/>
        <w:keepNext w:val="0"/>
        <w:keepLines w:val="0"/>
        <w:widowControl w:val="0"/>
        <w:shd w:val="clear" w:color="auto" w:fill="auto"/>
        <w:bidi w:val="0"/>
        <w:spacing w:before="0" w:after="160" w:line="233" w:lineRule="auto"/>
        <w:ind w:left="0" w:right="0" w:firstLine="0"/>
        <w:jc w:val="right"/>
        <w:rPr>
          <w:sz w:val="15"/>
          <w:szCs w:val="15"/>
        </w:rPr>
      </w:pPr>
      <w:r>
        <w:rPr>
          <w:color w:val="000000"/>
          <w:spacing w:val="0"/>
          <w:w w:val="100"/>
          <w:position w:val="0"/>
          <w:sz w:val="15"/>
          <w:szCs w:val="15"/>
        </w:rPr>
        <w:t>Надійшладо редакції 5.05.2015 р.</w:t>
      </w:r>
    </w:p>
    <w:sectPr>
      <w:headerReference w:type="default" r:id="rId21"/>
      <w:footerReference w:type="default" r:id="rId22"/>
      <w:footnotePr>
        <w:pos w:val="pageBottom"/>
        <w:numFmt w:val="decimal"/>
        <w:numRestart w:val="continuous"/>
      </w:footnotePr>
      <w:pgSz w:w="11900" w:h="16840"/>
      <w:pgMar w:top="3701" w:right="2589" w:bottom="3793" w:left="2634" w:header="0" w:footer="3" w:gutter="0"/>
      <w:pgNumType w:start="61"/>
      <w:cols w:space="720"/>
      <w:noEndnote/>
      <w:rtlGutter w:val="0"/>
      <w:docGrid w:linePitch="360"/>
    </w:sectPr>
  </w:body>
</w:document>
</file>

<file path=word/footer1.xml><?xml version="1.0" encoding="utf-8"?>
<w:ftr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4692" behindDoc="1" locked="0" layoutInCell="1" allowOverlap="1">
              <wp:simplePos x="0" y="0"/>
              <wp:positionH relativeFrom="page">
                <wp:posOffset>3736340</wp:posOffset>
              </wp:positionH>
              <wp:positionV relativeFrom="page">
                <wp:posOffset>8461375</wp:posOffset>
              </wp:positionV>
              <wp:extent cx="103505" cy="73025"/>
              <wp:wrapNone/>
              <wp:docPr id="26" name="Shape 26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ext cx="103505" cy="73025"/>
                      </a:xfrm>
                      <a:prstGeom prst="rect"/>
                      <a:noFill/>
                    </wps:spPr>
                    <wps:txbx>
                      <w:txbxContent>
                        <w:p>
                          <w:pPr>
                            <w:pStyle w:val="Style7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fldSimple w:instr=" PAGE \* MERGEFORMAT ">
                            <w:r>
                              <w:rPr>
                                <w:rFonts w:ascii="Cambria" w:eastAsia="Cambria" w:hAnsi="Cambria" w:cs="Cambria"/>
                                <w:color w:val="000000"/>
                                <w:spacing w:val="0"/>
                                <w:w w:val="100"/>
                                <w:position w:val="0"/>
                                <w:sz w:val="16"/>
                                <w:szCs w:val="16"/>
                              </w:rPr>
                              <w:t>#</w:t>
                            </w:r>
                          </w:fldSimple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52" type="#_x0000_t202" style="position:absolute;margin-left:294.19999999999999pt;margin-top:666.25pt;width:8.1500000000000004pt;height:5.75pt;z-index:-188744061;mso-wrap-style:none;mso-wrap-distance-left:0;mso-wrap-distance-right:0;mso-position-horizontal-relative:page;mso-position-vertical-relative:page" wrapcoords="0 0" filled="f" stroked="f">
              <v:textbox style="mso-fit-shape-to-text:t" inset="0,0,0,0">
                <w:txbxContent>
                  <w:p>
                    <w:pPr>
                      <w:pStyle w:val="Style7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sz w:val="16"/>
                        <w:szCs w:val="16"/>
                      </w:rPr>
                    </w:pPr>
                    <w:fldSimple w:instr=" PAGE \* MERGEFORMAT ">
                      <w:r>
                        <w:rPr>
                          <w:rFonts w:ascii="Cambria" w:eastAsia="Cambria" w:hAnsi="Cambria" w:cs="Cambria"/>
                          <w:color w:val="000000"/>
                          <w:spacing w:val="0"/>
                          <w:w w:val="100"/>
                          <w:position w:val="0"/>
                          <w:sz w:val="16"/>
                          <w:szCs w:val="16"/>
                        </w:rPr>
                        <w:t>#</w:t>
                      </w:r>
                    </w:fldSimple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header1.xml><?xml version="1.0" encoding="utf-8"?>
<w:hdr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4690" behindDoc="1" locked="0" layoutInCell="1" allowOverlap="1">
              <wp:simplePos x="0" y="0"/>
              <wp:positionH relativeFrom="page">
                <wp:posOffset>2157095</wp:posOffset>
              </wp:positionH>
              <wp:positionV relativeFrom="page">
                <wp:posOffset>2018030</wp:posOffset>
              </wp:positionV>
              <wp:extent cx="3267710" cy="94615"/>
              <wp:wrapNone/>
              <wp:docPr id="24" name="Shape 24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ext cx="3267710" cy="94615"/>
                      </a:xfrm>
                      <a:prstGeom prst="rect"/>
                      <a:noFill/>
                    </wps:spPr>
                    <wps:txbx>
                      <w:txbxContent>
                        <w:p>
                          <w:pPr>
                            <w:pStyle w:val="Style7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i/>
                              <w:iCs/>
                              <w:color w:val="000000"/>
                              <w:spacing w:val="0"/>
                              <w:w w:val="100"/>
                              <w:position w:val="0"/>
                              <w:sz w:val="18"/>
                              <w:szCs w:val="18"/>
                            </w:rPr>
                            <w:t>Вентиляція, освітлення та теплогазопостачання. Вип. 18, 2015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50" type="#_x0000_t202" style="position:absolute;margin-left:169.84999999999999pt;margin-top:158.90000000000001pt;width:257.30000000000001pt;height:7.4500000000000002pt;z-index:-188744063;mso-wrap-style:none;mso-wrap-distance-left:0;mso-wrap-distance-right:0;mso-position-horizontal-relative:page;mso-position-vertical-relative:page" wrapcoords="0 0" filled="f" stroked="f">
              <v:textbox style="mso-fit-shape-to-text:t" inset="0,0,0,0">
                <w:txbxContent>
                  <w:p>
                    <w:pPr>
                      <w:pStyle w:val="Style7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sz w:val="18"/>
                        <w:szCs w:val="18"/>
                      </w:rPr>
                    </w:pPr>
                    <w:r>
                      <w:rPr>
                        <w:rFonts w:ascii="Calibri" w:eastAsia="Calibri" w:hAnsi="Calibri" w:cs="Calibri"/>
                        <w:i/>
                        <w:iCs/>
                        <w:color w:val="000000"/>
                        <w:spacing w:val="0"/>
                        <w:w w:val="100"/>
                        <w:position w:val="0"/>
                        <w:sz w:val="18"/>
                        <w:szCs w:val="18"/>
                      </w:rPr>
                      <w:t>Вентиляція, освітлення та теплогазопостачання. Вип. 18, 2015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abstractNum w:abstractNumId="0">
    <w:multiLevelType w:val="multilevel"/>
    <w:lvl w:ilvl="0">
      <w:start w:val="1"/>
      <w:numFmt w:val="bullet"/>
      <w:lvlText w:val="•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</w:rPr>
    </w:lvl>
  </w:abstractNum>
  <w:abstractNum w:abstractNumId="2">
    <w:multiLevelType w:val="multilevel"/>
    <w:lvl w:ilvl="0">
      <w:start w:val="1"/>
      <w:numFmt w:val="decimal"/>
      <w:lvlText w:val="%1.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</w:rPr>
    </w:lvl>
  </w:abstractNum>
  <w:abstractNum w:abstractNumId="4">
    <w:multiLevelType w:val="multilevel"/>
    <w:lvl w:ilvl="0">
      <w:start w:val="1"/>
      <w:numFmt w:val="decimal"/>
      <w:lvlText w:val="%1.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  <w:shd w:val="clear" w:color="auto" w:fill="auto"/>
      </w:rPr>
    </w:lvl>
  </w:abstractNum>
  <w:num w:numId="1">
    <w:abstractNumId w:val="0"/>
  </w:num>
  <w:num w:numId="3">
    <w:abstractNumId w:val="2"/>
  </w:num>
  <w:num w:numId="5">
    <w:abstractNumId w:val="4"/>
  </w:num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zoom w:val="fullPage"/>
  <w:drawingGridHorizontalSpacing w:val="181"/>
  <w:drawingGridVerticalSpacing w:val="181"/>
  <w:displayHorizontalDrawingGridEvery w:val="1"/>
  <w:displayVerticalDrawingGridEvery w:val="1"/>
  <w:characterSpacingControl w:val="compressPunctuation"/>
  <w:footnotePr>
    <w:pos w:val="pageBottom"/>
    <w:numFmt w:val="decimal"/>
    <w:numRestart w:val="continuous"/>
    <w:footnote w:id="0"/>
    <w:footnote w:id="1"/>
  </w:footnotePr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docDefaults>
    <w:rPrDefault>
      <w:rPr>
        <w:rFonts w:ascii="Courier New" w:eastAsia="Courier New" w:hAnsi="Courier New" w:cs="Courier New"/>
        <w:sz w:val="24"/>
        <w:szCs w:val="24"/>
        <w:lang w:val="uk-UA" w:eastAsia="uk-UA" w:bidi="uk-UA"/>
      </w:rPr>
    </w:rPrDefault>
    <w:pPrDefault>
      <w:pPr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</w:pPrDefault>
  </w:docDefaults>
  <w:style w:type="paragraph" w:default="1" w:styleId="Normal">
    <w:name w:val="Normal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Courier New" w:eastAsia="Courier New" w:hAnsi="Courier New" w:cs="Courier New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default="1" w:styleId="DefaultParagraphFont">
    <w:name w:val="Default Paragraph Font"/>
    <w:rPr>
      <w:rFonts w:ascii="Courier New" w:eastAsia="Courier New" w:hAnsi="Courier New" w:cs="Courier New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customStyle="1" w:styleId="CharStyle3">
    <w:name w:val="Picture caption_"/>
    <w:basedOn w:val="DefaultParagraphFont"/>
    <w:link w:val="Style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  <w:shd w:val="clear" w:color="auto" w:fill="auto"/>
    </w:rPr>
  </w:style>
  <w:style w:type="character" w:customStyle="1" w:styleId="CharStyle6">
    <w:name w:val="Heading #1_"/>
    <w:basedOn w:val="DefaultParagraphFont"/>
    <w:link w:val="Style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  <w:shd w:val="clear" w:color="auto" w:fill="auto"/>
    </w:rPr>
  </w:style>
  <w:style w:type="character" w:customStyle="1" w:styleId="CharStyle8">
    <w:name w:val="Header or footer (2)_"/>
    <w:basedOn w:val="DefaultParagraphFont"/>
    <w:link w:val="Style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12">
    <w:name w:val="Body text (3)_"/>
    <w:basedOn w:val="DefaultParagraphFont"/>
    <w:link w:val="Style11"/>
    <w:rPr>
      <w:rFonts w:ascii="Arial" w:eastAsia="Arial" w:hAnsi="Arial" w:cs="Arial"/>
      <w:b w:val="0"/>
      <w:bCs w:val="0"/>
      <w:i/>
      <w:iCs/>
      <w:smallCaps w:val="0"/>
      <w:strike w:val="0"/>
      <w:sz w:val="18"/>
      <w:szCs w:val="18"/>
      <w:u w:val="none"/>
      <w:shd w:val="clear" w:color="auto" w:fill="auto"/>
    </w:rPr>
  </w:style>
  <w:style w:type="character" w:customStyle="1" w:styleId="CharStyle15">
    <w:name w:val="Body text (4)_"/>
    <w:basedOn w:val="DefaultParagraphFont"/>
    <w:link w:val="Style14"/>
    <w:rPr>
      <w:rFonts w:ascii="Arial" w:eastAsia="Arial" w:hAnsi="Arial" w:cs="Arial"/>
      <w:b/>
      <w:bCs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18">
    <w:name w:val="Body text (2)_"/>
    <w:basedOn w:val="DefaultParagraphFont"/>
    <w:link w:val="Style1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6"/>
      <w:szCs w:val="16"/>
      <w:u w:val="none"/>
      <w:shd w:val="clear" w:color="auto" w:fill="auto"/>
    </w:rPr>
  </w:style>
  <w:style w:type="character" w:customStyle="1" w:styleId="CharStyle23">
    <w:name w:val="Body text_"/>
    <w:basedOn w:val="DefaultParagraphFont"/>
    <w:link w:val="Style2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character" w:customStyle="1" w:styleId="CharStyle30">
    <w:name w:val="Heading #2_"/>
    <w:basedOn w:val="DefaultParagraphFont"/>
    <w:link w:val="Style2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paragraph" w:customStyle="1" w:styleId="Style2">
    <w:name w:val="Picture caption"/>
    <w:basedOn w:val="Normal"/>
    <w:link w:val="CharStyle3"/>
    <w:pPr>
      <w:widowControl w:val="0"/>
      <w:shd w:val="clear" w:color="auto" w:fill="auto"/>
      <w:jc w:val="center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  <w:shd w:val="clear" w:color="auto" w:fill="auto"/>
    </w:rPr>
  </w:style>
  <w:style w:type="paragraph" w:customStyle="1" w:styleId="Style5">
    <w:name w:val="Heading #1"/>
    <w:basedOn w:val="Normal"/>
    <w:link w:val="CharStyle6"/>
    <w:pPr>
      <w:widowControl w:val="0"/>
      <w:shd w:val="clear" w:color="auto" w:fill="auto"/>
      <w:spacing w:before="220" w:after="360"/>
      <w:jc w:val="center"/>
      <w:outlineLvl w:val="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  <w:shd w:val="clear" w:color="auto" w:fill="auto"/>
    </w:rPr>
  </w:style>
  <w:style w:type="paragraph" w:customStyle="1" w:styleId="Style7">
    <w:name w:val="Header or footer (2)"/>
    <w:basedOn w:val="Normal"/>
    <w:link w:val="CharStyle8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11">
    <w:name w:val="Body text (3)"/>
    <w:basedOn w:val="Normal"/>
    <w:link w:val="CharStyle12"/>
    <w:pPr>
      <w:widowControl w:val="0"/>
      <w:shd w:val="clear" w:color="auto" w:fill="auto"/>
      <w:spacing w:after="160"/>
      <w:ind w:left="460" w:firstLine="20"/>
    </w:pPr>
    <w:rPr>
      <w:rFonts w:ascii="Arial" w:eastAsia="Arial" w:hAnsi="Arial" w:cs="Arial"/>
      <w:b w:val="0"/>
      <w:bCs w:val="0"/>
      <w:i/>
      <w:iCs/>
      <w:smallCaps w:val="0"/>
      <w:strike w:val="0"/>
      <w:sz w:val="18"/>
      <w:szCs w:val="18"/>
      <w:u w:val="none"/>
      <w:shd w:val="clear" w:color="auto" w:fill="auto"/>
    </w:rPr>
  </w:style>
  <w:style w:type="paragraph" w:customStyle="1" w:styleId="Style14">
    <w:name w:val="Body text (4)"/>
    <w:basedOn w:val="Normal"/>
    <w:link w:val="CharStyle15"/>
    <w:pPr>
      <w:widowControl w:val="0"/>
      <w:shd w:val="clear" w:color="auto" w:fill="auto"/>
      <w:spacing w:after="160"/>
      <w:ind w:left="460" w:firstLine="20"/>
    </w:pPr>
    <w:rPr>
      <w:rFonts w:ascii="Arial" w:eastAsia="Arial" w:hAnsi="Arial" w:cs="Arial"/>
      <w:b/>
      <w:bCs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17">
    <w:name w:val="Body text (2)"/>
    <w:basedOn w:val="Normal"/>
    <w:link w:val="CharStyle18"/>
    <w:pPr>
      <w:widowControl w:val="0"/>
      <w:shd w:val="clear" w:color="auto" w:fill="auto"/>
      <w:spacing w:after="80"/>
      <w:ind w:firstLine="2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6"/>
      <w:szCs w:val="16"/>
      <w:u w:val="none"/>
      <w:shd w:val="clear" w:color="auto" w:fill="auto"/>
    </w:rPr>
  </w:style>
  <w:style w:type="paragraph" w:styleId="Style22">
    <w:name w:val="Body text"/>
    <w:basedOn w:val="Normal"/>
    <w:link w:val="CharStyle23"/>
    <w:qFormat/>
    <w:pPr>
      <w:widowControl w:val="0"/>
      <w:shd w:val="clear" w:color="auto" w:fill="auto"/>
      <w:ind w:firstLine="4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paragraph" w:customStyle="1" w:styleId="Style29">
    <w:name w:val="Heading #2"/>
    <w:basedOn w:val="Normal"/>
    <w:link w:val="CharStyle30"/>
    <w:pPr>
      <w:widowControl w:val="0"/>
      <w:shd w:val="clear" w:color="auto" w:fill="auto"/>
      <w:spacing w:after="70" w:line="230" w:lineRule="auto"/>
      <w:outlineLvl w:val="1"/>
    </w:pPr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  <w:shd w:val="clear" w:color="auto" w:fill="auto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1.png" TargetMode="External"/><Relationship Id="rId7" Type="http://schemas.openxmlformats.org/officeDocument/2006/relationships/image" Target="media/image2.jpeg"/><Relationship Id="rId8" Type="http://schemas.openxmlformats.org/officeDocument/2006/relationships/image" Target="media/image2.jpeg" TargetMode="External"/><Relationship Id="rId9" Type="http://schemas.openxmlformats.org/officeDocument/2006/relationships/image" Target="media/image3.jpeg"/><Relationship Id="rId10" Type="http://schemas.openxmlformats.org/officeDocument/2006/relationships/image" Target="media/image3.jpeg" TargetMode="External"/><Relationship Id="rId11" Type="http://schemas.openxmlformats.org/officeDocument/2006/relationships/image" Target="media/image4.png"/><Relationship Id="rId12" Type="http://schemas.openxmlformats.org/officeDocument/2006/relationships/image" Target="media/image4.png" TargetMode="External"/><Relationship Id="rId13" Type="http://schemas.openxmlformats.org/officeDocument/2006/relationships/image" Target="media/image5.png"/><Relationship Id="rId14" Type="http://schemas.openxmlformats.org/officeDocument/2006/relationships/image" Target="media/image5.png" TargetMode="External"/><Relationship Id="rId15" Type="http://schemas.openxmlformats.org/officeDocument/2006/relationships/image" Target="media/image6.png"/><Relationship Id="rId16" Type="http://schemas.openxmlformats.org/officeDocument/2006/relationships/image" Target="media/image6.png" TargetMode="External"/><Relationship Id="rId17" Type="http://schemas.openxmlformats.org/officeDocument/2006/relationships/image" Target="media/image7.jpeg"/><Relationship Id="rId18" Type="http://schemas.openxmlformats.org/officeDocument/2006/relationships/image" Target="media/image7.jpeg" TargetMode="External"/><Relationship Id="rId19" Type="http://schemas.openxmlformats.org/officeDocument/2006/relationships/image" Target="media/image8.jpeg"/><Relationship Id="rId20" Type="http://schemas.openxmlformats.org/officeDocument/2006/relationships/image" Target="media/image8.jpeg" TargetMode="External"/><Relationship Id="rId21" Type="http://schemas.openxmlformats.org/officeDocument/2006/relationships/header" Target="header1.xml"/><Relationship Id="rId22" Type="http://schemas.openxmlformats.org/officeDocument/2006/relationships/footer" Target="footer1.xml"/></Relationships>
</file>