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300</w:t>
      </w:r>
    </w:p>
    <w:p>
      <w:pPr>
        <w:pStyle w:val="Style7"/>
        <w:keepNext w:val="0"/>
        <w:keepLines w:val="0"/>
        <w:framePr w:wrap="none" w:vAnchor="page" w:hAnchor="page" w:x="2316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tabs>
          <w:tab w:pos="7710" w:val="left"/>
        </w:tabs>
        <w:bidi w:val="0"/>
        <w:spacing w:before="0" w:after="0"/>
        <w:ind w:left="0" w:right="0" w:firstLine="640"/>
        <w:jc w:val="both"/>
      </w:pPr>
      <w:r>
        <w:rPr>
          <w:color w:val="000000"/>
          <w:spacing w:val="0"/>
          <w:w w:val="100"/>
          <w:position w:val="0"/>
        </w:rPr>
        <w:t>УДК 725.219.3</w:t>
        <w:tab/>
      </w:r>
      <w:r>
        <w:rPr>
          <w:b/>
          <w:bCs/>
          <w:color w:val="000000"/>
          <w:spacing w:val="0"/>
          <w:w w:val="100"/>
          <w:position w:val="0"/>
        </w:rPr>
        <w:t>А. Я. Костенко,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/>
        <w:ind w:left="440" w:right="0" w:firstLine="624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кандидат </w:t>
      </w:r>
      <w:r>
        <w:rPr>
          <w:i/>
          <w:iCs/>
          <w:color w:val="000000"/>
          <w:spacing w:val="0"/>
          <w:w w:val="100"/>
          <w:position w:val="0"/>
        </w:rPr>
        <w:t>архитектурыг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 xml:space="preserve">доцент каф. основ </w:t>
      </w:r>
      <w:r>
        <w:rPr>
          <w:i/>
          <w:iCs/>
          <w:color w:val="000000"/>
          <w:spacing w:val="0"/>
          <w:w w:val="100"/>
          <w:position w:val="0"/>
        </w:rPr>
        <w:t>архитектуры и архитектурного проектирования КНУСА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/>
        <w:ind w:left="810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>С . В. Семка,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340"/>
        <w:ind w:left="440" w:right="0" w:firstLine="6240"/>
        <w:jc w:val="both"/>
      </w:pPr>
      <w:r>
        <w:rPr>
          <w:i/>
          <w:iCs/>
          <w:color w:val="000000"/>
          <w:spacing w:val="0"/>
          <w:w w:val="100"/>
          <w:position w:val="0"/>
        </w:rPr>
        <w:t>кандидат архитектурыг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>доцент каф. основ архитектурыг и архитектурного проектирования КНУСА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340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КОМПОЗИЦИЯ. ПРОСТРАНСТВО . ИНФОРМАЦИЯ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Аннотация :</w:t>
      </w:r>
      <w:r>
        <w:rPr>
          <w:color w:val="000000"/>
          <w:spacing w:val="0"/>
          <w:w w:val="100"/>
          <w:position w:val="0"/>
        </w:rPr>
        <w:t xml:space="preserve"> в статье затронуты некоторые вопросы композиционно - пространственных решений медиасистем и информативности современной городской среды .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34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</w:rPr>
        <w:t xml:space="preserve"> : композиция плоскости, линейная структура, локализация, движение и виртуальность, акцент, медиазоны пешеходных пространств , интерактивность и медиальность .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Трудно представить современный город без средств транспортной , рекламной , торговой , культурной и других видов информации , которые стали неотъемлемыми элементами городской среды . На смену традиционным архитектурным, скульптурным и изобразительным элементам пришли постоянно изменяющиеся средства полиграфии , электроники и светотехники.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Значение информации особенно велико в городских центрах, общественных зонах , торговых комплексах, где человек , располагая лимитом времени, острее ощущает нехватку необходимой информации для принятия решений . В соответствии с обширными планами внедрения новых технологических систем , применения прогрессивных методов обслуживания населения , в архитектуру включаются все новые и новые виды информации и новые принципы их композиционной и пространственной организации .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Композиция плоскости . Витрина торгового здания . </w:t>
      </w:r>
      <w:r>
        <w:rPr>
          <w:color w:val="000000"/>
          <w:spacing w:val="0"/>
          <w:w w:val="100"/>
          <w:position w:val="0"/>
        </w:rPr>
        <w:t>Торговый фасад преображался примерно так : возникла оконная закрытая витрина, потом сплошное остекление , остекление первого этажа было отнесено вглубь здания и организована пешеходная галерея . Второй этап - на протяжении которого были организованы открытые вестибюли и отдельно стоящие витрины, выделен первый этаж для информирования и рекламы путем создания демонстрационных и выставочных залов - не только преобразил облик зданий , но и внес существенные изменения в их планировочную структуру.</w:t>
      </w:r>
    </w:p>
    <w:p>
      <w:pPr>
        <w:pStyle w:val="Style11"/>
        <w:keepNext w:val="0"/>
        <w:keepLines w:val="0"/>
        <w:framePr w:w="9696" w:h="14069" w:hRule="exact" w:wrap="none" w:vAnchor="page" w:hAnchor="page" w:x="110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Линейная структура . Полоса остекления . </w:t>
      </w:r>
      <w:r>
        <w:rPr>
          <w:color w:val="000000"/>
          <w:spacing w:val="0"/>
          <w:w w:val="100"/>
          <w:position w:val="0"/>
        </w:rPr>
        <w:t>Устройство сплошного остекления, так называемых открытых, просматривающихся витрин, быстро создает у прохожих впечатление о характере магазина, приближает торговый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6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301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зал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тротуару, </w:t>
      </w:r>
      <w:r>
        <w:rPr>
          <w:color w:val="000000"/>
          <w:spacing w:val="0"/>
          <w:w w:val="100"/>
          <w:position w:val="0"/>
        </w:rPr>
        <w:t xml:space="preserve">открывает оживленную </w:t>
      </w:r>
      <w:r>
        <w:rPr>
          <w:color w:val="000000"/>
          <w:spacing w:val="0"/>
          <w:w w:val="100"/>
          <w:position w:val="0"/>
        </w:rPr>
        <w:t xml:space="preserve">картину </w:t>
      </w:r>
      <w:r>
        <w:rPr>
          <w:color w:val="000000"/>
          <w:spacing w:val="0"/>
          <w:w w:val="100"/>
          <w:position w:val="0"/>
        </w:rPr>
        <w:t xml:space="preserve">деятельности </w:t>
      </w:r>
      <w:r>
        <w:rPr>
          <w:color w:val="000000"/>
          <w:spacing w:val="0"/>
          <w:w w:val="100"/>
          <w:position w:val="0"/>
        </w:rPr>
        <w:t xml:space="preserve">торгового </w:t>
      </w:r>
      <w:r>
        <w:rPr>
          <w:color w:val="000000"/>
          <w:spacing w:val="0"/>
          <w:w w:val="100"/>
          <w:position w:val="0"/>
        </w:rPr>
        <w:t xml:space="preserve">предприятия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вызывая желание войти в магазин (рис . 1 ) . Применяется прием отнесения витрины вглубь здания, а также устройство ее как отдельно стоящей . В первом случае создается пешеходная галерея , </w:t>
      </w:r>
      <w:r>
        <w:rPr>
          <w:color w:val="000000"/>
          <w:spacing w:val="0"/>
          <w:w w:val="100"/>
          <w:position w:val="0"/>
        </w:rPr>
        <w:t xml:space="preserve">паралельно </w:t>
      </w:r>
      <w:r>
        <w:rPr>
          <w:color w:val="000000"/>
          <w:spacing w:val="0"/>
          <w:w w:val="100"/>
          <w:position w:val="0"/>
        </w:rPr>
        <w:t>пешеходной зоне улицы и этим обеспечиваются оптимальные условия для восприятия информации посетителями [1, 2].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Локализация. Открытые вестибюли. </w:t>
      </w:r>
      <w:r>
        <w:rPr>
          <w:color w:val="000000"/>
          <w:spacing w:val="0"/>
          <w:w w:val="100"/>
          <w:position w:val="0"/>
        </w:rPr>
        <w:t>Новой эффективной формой являются открытые вестибюли , которые устраиваются в пространстве первых этажей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. </w:t>
      </w:r>
      <w:r>
        <w:rPr>
          <w:color w:val="000000"/>
          <w:spacing w:val="0"/>
          <w:w w:val="100"/>
          <w:position w:val="0"/>
        </w:rPr>
        <w:t>Их применение наиболее целесообразно для сравнительно небольших встроенных магазинов . Вход в такой магазин расположен в глубине открытого вестибюля и покупателю для того , чтобы попасть в торговое предприятие , нужно пройти мимо выставок с образцами товаров .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Прием открытого вестибюля, как места сосредоточения визуальной информации, применяется при перепрофилировании промышленных и реконструкции торговых предприятий , кинотеатров , административных зданий . Для крупных предприятий , в составе торговых комплексов , характерен прием объединения открытых вестибюлей с общей пешеходной эспланадой комплекса.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Входная группа должна вписываться в существующую модульную структуру комплекса и создавать вид единого целого для офиса, магазина или здания . Над входом может располагаться логотип или название, выполненные в виде объёмных букв с неоновой подсветкой , букв из нержавеющей стали или световых коробов разнообразных видов и форм (рис . 2) .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tabs>
          <w:tab w:pos="4834" w:val="left"/>
          <w:tab w:pos="8213" w:val="left"/>
        </w:tabs>
        <w:bidi w:val="0"/>
        <w:spacing w:before="0" w:after="0" w:line="290" w:lineRule="auto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>Многофункциональная</w:t>
        <w:tab/>
        <w:t>неопределенность</w:t>
        <w:tab/>
        <w:t>комплекса.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tabs>
          <w:tab w:pos="2626" w:val="left"/>
          <w:tab w:pos="7094" w:val="left"/>
        </w:tabs>
        <w:bidi w:val="0"/>
        <w:spacing w:before="0" w:after="0" w:line="29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Многофункциональность становится одной из главных черт зданий обслуживания. Наиболее серьезным недостатком большинства комплексов обслуживания является их перегруженность разноплановой информацией, которая относится к отдельным предприятиям, но воспринимается на уровне всего комплекса. В торговых комплексах значительная часть информации размещается на внешних фасадах зданий и зачастую вступает в противоречие с архитектурными</w:t>
        <w:tab/>
        <w:t>декоративно-художественными</w:t>
        <w:tab/>
        <w:t>средствами . Их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разнохарактерное решение и неупорядоченность по отношению к элементам фасадов вызваны, как правило, конкуренцией предприятий-арендаторов . Стремление вынести на фасад информацию с названиями почти всех предприятий , входящих в состав комплекса , без учета их значимости , приводит к дезориентации потребителя .</w:t>
      </w:r>
    </w:p>
    <w:p>
      <w:pPr>
        <w:pStyle w:val="Style11"/>
        <w:keepNext w:val="0"/>
        <w:keepLines w:val="0"/>
        <w:framePr w:w="9696" w:h="14074" w:hRule="exact" w:wrap="none" w:vAnchor="page" w:hAnchor="page" w:x="1107" w:y="1456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>Движение и виртуальность. Восприятие информации с транспорта</w:t>
      </w:r>
      <w:r>
        <w:rPr>
          <w:color w:val="000000"/>
          <w:spacing w:val="0"/>
          <w:w w:val="100"/>
          <w:position w:val="0"/>
        </w:rPr>
        <w:t>. Формирование торговых комплексов в связи с транспортными магистралями вызвало необходимость вынесения информационных средств на транспортные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9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302</w:t>
      </w:r>
    </w:p>
    <w:p>
      <w:pPr>
        <w:pStyle w:val="Style7"/>
        <w:keepNext w:val="0"/>
        <w:keepLines w:val="0"/>
        <w:framePr w:wrap="none" w:vAnchor="page" w:hAnchor="page" w:x="2314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6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магистрали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а также поиска путей их выразительности и читаемости . Акцентирование внимания на рекламных элементах достигается использованием плоскостей фасада для их размещения. Для комплексов обслуживания характерно вынесение информации на значительное расстояние от здания . Включение вертикальных информационных элементов значительных размеров в общую композицию комплекса значительно повышает его образную выразительность . Информационные установки, расположенные между пешеходной зоной и транспортной магистралью , воспринимаются одновременно пешеходами и пассажирами транспорта [2, 3].</w:t>
      </w:r>
    </w:p>
    <w:p>
      <w:pPr>
        <w:pStyle w:val="Style11"/>
        <w:keepNext w:val="0"/>
        <w:keepLines w:val="0"/>
        <w:framePr w:w="9701" w:h="1406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Доминирование и акцент. Высотные здания информируют. </w:t>
      </w:r>
      <w:r>
        <w:rPr>
          <w:color w:val="000000"/>
          <w:spacing w:val="0"/>
          <w:w w:val="100"/>
          <w:position w:val="0"/>
        </w:rPr>
        <w:t>Устойчивой тенденцией формирования общественных центров городов является включение в их пространственную структуру высотных зданий, доминирующих в окружающей застройке. Высотные здания становятся элементами композиции административных и культурных комплексов , их объемно-пространственным акцентом . Они как бы принимают на себя часть той роли, которая прежде в городской структуре безраздельно принадлежала общественным зданиям с большими объемами, куполами , колокольнями, минаретами подобно тому, как в классической архитектуре здания, обладающие особой социальной значимостью, обычно доминировали , выделяясь массой, высотой , сложностью силуэта, служили главными ориентирами благодаря индивидуальности формы , крупномасштабности членения структуры (рис . 3 ) . Стремление вынести главную информацию , отображающую функциональное содержание комплекса, на доминирующие объемы поставило задачу архитектурного решения информационных элементов , венчающих фасады .</w:t>
      </w:r>
    </w:p>
    <w:p>
      <w:pPr>
        <w:pStyle w:val="Style11"/>
        <w:keepNext w:val="0"/>
        <w:keepLines w:val="0"/>
        <w:framePr w:w="9701" w:h="1406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Модульность и мобильность. Фасад подземного пространства. </w:t>
      </w:r>
      <w:r>
        <w:rPr>
          <w:color w:val="000000"/>
          <w:spacing w:val="0"/>
          <w:w w:val="100"/>
          <w:position w:val="0"/>
        </w:rPr>
        <w:t>На современном этапе урбанизации городов возникает необходимость освоения подземных пространств . Сложные подземные структуры крупных городов, развиваясь по вертикали и горизонтали , достигают значительных размеров и требуют размещения дополнительной информации . Городская информация - это главный элемент фасада подземного пространства. Находясь внизу на станции метро , мы только тогда можем сказать , что нас окружает комфортная среда, если мы в достаточной степени знаем , что находится сверху. И на оборот - при размещении объектов обслуживания под землей , находясь на улицах города мы должны знать их местоположение и функциональное назначение [3, 4].</w:t>
      </w:r>
    </w:p>
    <w:p>
      <w:pPr>
        <w:pStyle w:val="Style11"/>
        <w:keepNext w:val="0"/>
        <w:keepLines w:val="0"/>
        <w:framePr w:w="9701" w:h="1406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>Концентрация и рассредоточение. Информация центра и периферии.</w:t>
      </w:r>
    </w:p>
    <w:p>
      <w:pPr>
        <w:pStyle w:val="Style11"/>
        <w:keepNext w:val="0"/>
        <w:keepLines w:val="0"/>
        <w:framePr w:w="9701" w:h="1406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Общегородская информация неравномерно размещается в структуре города. Ее концентрация наблюдается в центральной исторически сложившейся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6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303</w:t>
      </w:r>
    </w:p>
    <w:p>
      <w:pPr>
        <w:pStyle w:val="Style11"/>
        <w:keepNext w:val="0"/>
        <w:keepLines w:val="0"/>
        <w:framePr w:w="9696" w:h="744" w:hRule="exact" w:wrap="none" w:vAnchor="page" w:hAnchor="page" w:x="1107" w:y="1456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части , </w:t>
      </w:r>
      <w:r>
        <w:rPr>
          <w:color w:val="000000"/>
          <w:spacing w:val="0"/>
          <w:w w:val="100"/>
          <w:position w:val="0"/>
        </w:rPr>
        <w:t>где сосредоточены зоны наивысшей активности городских функций с большой интенсивностью пешеходного движения, высокой плотностью</w:t>
      </w:r>
    </w:p>
    <w:p>
      <w:pPr>
        <w:pStyle w:val="Style11"/>
        <w:keepNext w:val="0"/>
        <w:keepLines w:val="0"/>
        <w:framePr w:wrap="none" w:vAnchor="page" w:hAnchor="page" w:x="1107" w:y="2205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размещения объектов городского обслуживания, концентрацией культурно</w:t>
        <w:softHyphen/>
      </w:r>
    </w:p>
    <w:p>
      <w:pPr>
        <w:pStyle w:val="Style11"/>
        <w:keepNext w:val="0"/>
        <w:keepLines w:val="0"/>
        <w:framePr w:wrap="none" w:vAnchor="page" w:hAnchor="page" w:x="1107" w:y="2555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зрелищных учреждений .</w:t>
      </w:r>
    </w:p>
    <w:p>
      <w:pPr>
        <w:pStyle w:val="Style11"/>
        <w:keepNext w:val="0"/>
        <w:keepLines w:val="0"/>
        <w:framePr w:wrap="none" w:vAnchor="page" w:hAnchor="page" w:x="1107" w:y="2901"/>
        <w:widowControl w:val="0"/>
        <w:shd w:val="clear" w:color="auto" w:fill="auto"/>
        <w:bidi w:val="0"/>
        <w:spacing w:before="0" w:after="0" w:line="24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Архитекторы, ищут пути комплексного решения архитектурных и</w:t>
      </w:r>
    </w:p>
    <w:p>
      <w:pPr>
        <w:pStyle w:val="Style11"/>
        <w:keepNext w:val="0"/>
        <w:keepLines w:val="0"/>
        <w:framePr w:w="2184" w:h="1459" w:hRule="exact" w:wrap="none" w:vAnchor="page" w:hAnchor="page" w:x="1112" w:y="32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информационных самостоятельных информационные функциональным</w:t>
      </w:r>
    </w:p>
    <w:p>
      <w:pPr>
        <w:pStyle w:val="Style11"/>
        <w:keepNext w:val="0"/>
        <w:keepLines w:val="0"/>
        <w:framePr w:w="9696" w:h="1459" w:hRule="exact" w:wrap="none" w:vAnchor="page" w:hAnchor="page" w:x="1107" w:y="3256"/>
        <w:widowControl w:val="0"/>
        <w:shd w:val="clear" w:color="auto" w:fill="auto"/>
        <w:bidi w:val="0"/>
        <w:spacing w:before="0" w:after="0"/>
        <w:ind w:left="2414" w:right="10" w:firstLine="0"/>
        <w:jc w:val="both"/>
      </w:pPr>
      <w:r>
        <w:rPr>
          <w:color w:val="000000"/>
          <w:spacing w:val="0"/>
          <w:w w:val="100"/>
          <w:position w:val="0"/>
        </w:rPr>
        <w:t>средств . Основой этого опыта является создание</w:t>
        <w:br/>
        <w:t>отдельно стоящих структур , создавая своеобразные</w:t>
      </w:r>
    </w:p>
    <w:p>
      <w:pPr>
        <w:pStyle w:val="Style11"/>
        <w:keepNext w:val="0"/>
        <w:keepLines w:val="0"/>
        <w:framePr w:w="9696" w:h="1459" w:hRule="exact" w:wrap="none" w:vAnchor="page" w:hAnchor="page" w:x="1107" w:y="3256"/>
        <w:widowControl w:val="0"/>
        <w:shd w:val="clear" w:color="auto" w:fill="auto"/>
        <w:bidi w:val="0"/>
        <w:spacing w:before="0" w:after="0"/>
        <w:ind w:left="2414" w:right="10" w:firstLine="0"/>
        <w:jc w:val="both"/>
      </w:pPr>
      <w:r>
        <w:rPr>
          <w:color w:val="000000"/>
          <w:spacing w:val="0"/>
          <w:w w:val="100"/>
          <w:position w:val="0"/>
        </w:rPr>
        <w:t>зоны . Их размещение взаимосвязано с общим</w:t>
        <w:br/>
        <w:t>зонированием территории , планировочным решением</w:t>
      </w:r>
    </w:p>
    <w:p>
      <w:pPr>
        <w:pStyle w:val="Style11"/>
        <w:keepNext w:val="0"/>
        <w:keepLines w:val="0"/>
        <w:framePr w:wrap="none" w:vAnchor="page" w:hAnchor="page" w:x="1107" w:y="472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системы главных потоков пешеходов и транспорта (рис . 4 - 5).</w:t>
      </w:r>
    </w:p>
    <w:p>
      <w:pPr>
        <w:pStyle w:val="Style11"/>
        <w:keepNext w:val="0"/>
        <w:keepLines w:val="0"/>
        <w:framePr w:w="9696" w:h="6149" w:hRule="exact" w:wrap="none" w:vAnchor="page" w:hAnchor="page" w:x="1107" w:y="506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Линейная организация торговых пассажей, торговых улиц. </w:t>
      </w:r>
      <w:r>
        <w:rPr>
          <w:color w:val="000000"/>
          <w:spacing w:val="0"/>
          <w:w w:val="100"/>
          <w:position w:val="0"/>
        </w:rPr>
        <w:t>Развитие пассажей объясняется целым рядом их преимуществ перед другими формами торговли и прежде всего их особой привлекательностью для людей благодаря комфорту и комплексности обслуживания, сочетанию в себе различных функций . Грандиозное по размерам внутреннее пространство приобретает характер настоящей улицы с множеством элементов дизайн-систем и разнообразных средств информационного и эстетического воздействия . Прием композиционной линейности специально организованного информационного ядра, связанного с постоянными и массовыми потоками посетителей , позволяет широко использовать аудиовизуальные средства. Кино , диапроекция, телевидение, различные фонограммные информаторы , предоставляя разнообразные сообщения, информируют посетителей (рис . 4).</w:t>
      </w:r>
    </w:p>
    <w:p>
      <w:pPr>
        <w:pStyle w:val="Style11"/>
        <w:keepNext w:val="0"/>
        <w:keepLines w:val="0"/>
        <w:framePr w:w="9696" w:h="6149" w:hRule="exact" w:wrap="none" w:vAnchor="page" w:hAnchor="page" w:x="1107" w:y="506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Медиазоны пешеходных пространств. </w:t>
      </w:r>
      <w:r>
        <w:rPr>
          <w:color w:val="000000"/>
          <w:spacing w:val="0"/>
          <w:w w:val="100"/>
          <w:position w:val="0"/>
        </w:rPr>
        <w:t>Медиазоны пешеходных пространств представляют собой обширный класс графических , архитектурных и технических средств , с помощью которых информация передается человеку для визуального восприятия (рис .5 ) . Используя функции информирования и рекламы , медиазоны получили самостоятельные формы организации . На смену</w:t>
      </w:r>
    </w:p>
    <w:p>
      <w:pPr>
        <w:pStyle w:val="Style11"/>
        <w:keepNext w:val="0"/>
        <w:keepLines w:val="0"/>
        <w:framePr w:w="9696" w:h="4344" w:hRule="exact" w:wrap="none" w:vAnchor="page" w:hAnchor="page" w:x="1107" w:y="11219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традиционным элементам пришли средства электроники и светотехники . Медиапространства, как элементы общественных комплексов, являются новым типом оборудования , где человек может, используя компьютер, монитор и теле</w:t>
        <w:softHyphen/>
        <w:t>информатор , получать сведения о наполнении архитектурной среды [2,3,4,5].</w:t>
      </w:r>
    </w:p>
    <w:p>
      <w:pPr>
        <w:pStyle w:val="Style11"/>
        <w:keepNext w:val="0"/>
        <w:keepLines w:val="0"/>
        <w:framePr w:w="9696" w:h="4344" w:hRule="exact" w:wrap="none" w:vAnchor="page" w:hAnchor="page" w:x="1107" w:y="11219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Интерактивность и медиальность. Медиафасады — </w:t>
      </w:r>
      <w:r>
        <w:rPr>
          <w:color w:val="000000"/>
          <w:spacing w:val="0"/>
          <w:w w:val="100"/>
          <w:position w:val="0"/>
        </w:rPr>
        <w:t>новейшая технология, новаторский шаг по сравнению с уже ставшими обычными уличными экранами . Со стороны медиафасад выглядит как гигантский телевизионный экран , внутренняя конструкция почти незаметна . Медиафасад конструктивно представляет следующее . Гермотрубка со светодиодными лампами внутри , вставляется в направляющий профиль и жестко закрепляется на вертикальных несущих тросах . Получается сетка, которая монтируется на фасад здания и абсолютно не обременяет его своим конструктивным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  <w:r>
        <mc:AlternateContent>
          <mc:Choice Requires="wps">
            <w:drawing>
              <wp:anchor simplePos="0" relativeHeight="2" behindDoc="1" locked="0" layoutInCell="1" allowOverlap="1">
                <wp:simplePos x="0" y="0"/>
                <wp:positionH relativeFrom="page">
                  <wp:posOffset>715645</wp:posOffset>
                </wp:positionH>
                <wp:positionV relativeFrom="page">
                  <wp:posOffset>3819525</wp:posOffset>
                </wp:positionV>
                <wp:extent cx="6129655" cy="0"/>
                <wp:wrapNone/>
                <wp:docPr id="1" name="Shape 1"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ext cx="6129655" cy="0"/>
                        </a:xfrm>
                        <a:prstGeom prst="straightConnector1"/>
                        <a:ln w="889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6.350000000000001pt;margin-top:300.75pt;width:482.65000000000003pt;height:0;z-index:-251658240;mso-position-horizontal-relative:page;mso-position-vertical-relative:page">
                <v:stroke weight="0.70000000000000007pt"/>
              </v:shape>
            </w:pict>
          </mc:Fallback>
        </mc:AlternateContent>
      </w:r>
    </w:p>
    <w:p>
      <w:pPr>
        <w:pStyle w:val="Style7"/>
        <w:keepNext w:val="0"/>
        <w:keepLines w:val="0"/>
        <w:framePr w:wrap="none" w:vAnchor="page" w:hAnchor="page" w:x="1114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304</w:t>
      </w:r>
    </w:p>
    <w:p>
      <w:pPr>
        <w:pStyle w:val="Style7"/>
        <w:keepNext w:val="0"/>
        <w:keepLines w:val="0"/>
        <w:framePr w:wrap="none" w:vAnchor="page" w:hAnchor="page" w:x="2319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8"/>
        <w:keepNext w:val="0"/>
        <w:keepLines w:val="0"/>
        <w:framePr w:w="9686" w:h="1109" w:hRule="exact" w:wrap="none" w:vAnchor="page" w:hAnchor="page" w:x="1109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присутствием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Основные преимущества данной конструкции : герметичность , легкость , любые размеры изображения и его разрешения, возможность установки на различные поверхности , в том числе криволинейные (рис . 6).</w:t>
      </w:r>
    </w:p>
    <w:p>
      <w:pPr>
        <w:framePr w:wrap="none" w:vAnchor="page" w:hAnchor="page" w:x="1244" w:y="2493"/>
        <w:widowControl w:val="0"/>
        <w:rPr>
          <w:sz w:val="2"/>
          <w:szCs w:val="2"/>
        </w:rPr>
      </w:pPr>
      <w:r>
        <w:drawing>
          <wp:inline>
            <wp:extent cx="6059170" cy="1835150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6059170" cy="183515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461" w:h="744" w:hRule="exact" w:wrap="none" w:vAnchor="page" w:hAnchor="page" w:x="1224" w:y="6064"/>
        <w:widowControl w:val="0"/>
        <w:shd w:val="clear" w:color="auto" w:fill="auto"/>
        <w:bidi w:val="0"/>
        <w:spacing w:before="0" w:after="0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1 . Местом размещения информации и рекламы являются витрины сплошного остекления</w:t>
      </w:r>
    </w:p>
    <w:p>
      <w:pPr>
        <w:framePr w:wrap="none" w:vAnchor="page" w:hAnchor="page" w:x="1128" w:y="7024"/>
        <w:widowControl w:val="0"/>
        <w:rPr>
          <w:sz w:val="2"/>
          <w:szCs w:val="2"/>
        </w:rPr>
      </w:pPr>
      <w:r>
        <w:drawing>
          <wp:inline>
            <wp:extent cx="6132830" cy="2103120"/>
            <wp:docPr id="3" name="Picutr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6132830" cy="21031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8"/>
        <w:keepNext w:val="0"/>
        <w:keepLines w:val="0"/>
        <w:framePr w:wrap="none" w:vAnchor="page" w:hAnchor="page" w:x="1224" w:y="10365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2 . Примеры решения текстовых вывесок из объемных элементов .</w:t>
      </w:r>
    </w:p>
    <w:p>
      <w:pPr>
        <w:framePr w:wrap="none" w:vAnchor="page" w:hAnchor="page" w:x="1128" w:y="10687"/>
        <w:widowControl w:val="0"/>
        <w:rPr>
          <w:sz w:val="2"/>
          <w:szCs w:val="2"/>
        </w:rPr>
      </w:pPr>
      <w:r>
        <w:drawing>
          <wp:inline>
            <wp:extent cx="6132830" cy="2865120"/>
            <wp:docPr id="4" name="Picutre 4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6132830" cy="28651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8"/>
        <w:keepNext w:val="0"/>
        <w:keepLines w:val="0"/>
        <w:framePr w:wrap="none" w:vAnchor="page" w:hAnchor="page" w:x="1224" w:y="1523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3 . Информационные установки высотных зданий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78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299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305</w:t>
      </w:r>
    </w:p>
    <w:p>
      <w:pPr>
        <w:framePr w:wrap="none" w:vAnchor="page" w:hAnchor="page" w:x="1088" w:y="1413"/>
        <w:widowControl w:val="0"/>
        <w:rPr>
          <w:sz w:val="2"/>
          <w:szCs w:val="2"/>
        </w:rPr>
      </w:pPr>
      <w:r>
        <w:drawing>
          <wp:inline>
            <wp:extent cx="6132830" cy="2334895"/>
            <wp:docPr id="5" name="Picutre 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6132830" cy="233489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8"/>
        <w:keepNext w:val="0"/>
        <w:keepLines w:val="0"/>
        <w:framePr w:w="9466" w:h="754" w:hRule="exact" w:wrap="none" w:vAnchor="page" w:hAnchor="page" w:x="1184" w:y="5123"/>
        <w:widowControl w:val="0"/>
        <w:shd w:val="clear" w:color="auto" w:fill="auto"/>
        <w:bidi w:val="0"/>
        <w:spacing w:before="0" w:after="0" w:line="293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Рис . 4 . </w:t>
      </w:r>
      <w:r>
        <w:rPr>
          <w:color w:val="000000"/>
          <w:spacing w:val="0"/>
          <w:w w:val="100"/>
          <w:position w:val="0"/>
        </w:rPr>
        <w:t xml:space="preserve">Видеоэкраны </w:t>
      </w:r>
      <w:r>
        <w:rPr>
          <w:color w:val="000000"/>
          <w:spacing w:val="0"/>
          <w:w w:val="100"/>
          <w:position w:val="0"/>
        </w:rPr>
        <w:t xml:space="preserve">- новая </w:t>
      </w:r>
      <w:r>
        <w:rPr>
          <w:color w:val="000000"/>
          <w:spacing w:val="0"/>
          <w:w w:val="100"/>
          <w:position w:val="0"/>
        </w:rPr>
        <w:t xml:space="preserve">технология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которая динамично развивается в архитектуре общественных зданий .</w:t>
      </w:r>
    </w:p>
    <w:p>
      <w:pPr>
        <w:framePr w:wrap="none" w:vAnchor="page" w:hAnchor="page" w:x="1088" w:y="6247"/>
        <w:widowControl w:val="0"/>
        <w:rPr>
          <w:sz w:val="2"/>
          <w:szCs w:val="2"/>
        </w:rPr>
      </w:pPr>
      <w:r>
        <w:drawing>
          <wp:inline>
            <wp:extent cx="6181090" cy="1932305"/>
            <wp:docPr id="6" name="Picutre 6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3"/>
                    <a:stretch/>
                  </pic:blipFill>
                  <pic:spPr>
                    <a:xfrm>
                      <a:ext cx="6181090" cy="193230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734" w:h="749" w:hRule="exact" w:wrap="none" w:vAnchor="page" w:hAnchor="page" w:x="1088" w:y="9381"/>
        <w:widowControl w:val="0"/>
        <w:shd w:val="clear" w:color="auto" w:fill="auto"/>
        <w:bidi w:val="0"/>
        <w:spacing w:before="0" w:after="0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5 . Медиазоны торговых улиц больших общественных комплексов . Польша.</w:t>
      </w:r>
    </w:p>
    <w:p>
      <w:pPr>
        <w:framePr w:wrap="none" w:vAnchor="page" w:hAnchor="page" w:x="1203" w:y="10456"/>
        <w:widowControl w:val="0"/>
        <w:rPr>
          <w:sz w:val="2"/>
          <w:szCs w:val="2"/>
        </w:rPr>
      </w:pPr>
      <w:r>
        <w:drawing>
          <wp:inline>
            <wp:extent cx="6059170" cy="2103120"/>
            <wp:docPr id="7" name="Picutre 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5"/>
                    <a:stretch/>
                  </pic:blipFill>
                  <pic:spPr>
                    <a:xfrm>
                      <a:ext cx="6059170" cy="21031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734" w:h="744" w:hRule="exact" w:wrap="none" w:vAnchor="page" w:hAnchor="page" w:x="1088" w:y="13874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6 . Медиа фасады - новая технология , которая динамично развивается в архитектуре общественных зданий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306</w:t>
      </w:r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46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Приведенные примеры иллюстрируют новые тенденции в формировании средств информации как элементов многофункциональных пространств, которые характеризуют общее повышение их эстетического значения в городе.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Список литературы :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numPr>
          <w:ilvl w:val="0"/>
          <w:numId w:val="1"/>
        </w:numPr>
        <w:shd w:val="clear" w:color="auto" w:fill="auto"/>
        <w:tabs>
          <w:tab w:pos="1000" w:val="left"/>
        </w:tabs>
        <w:bidi w:val="0"/>
        <w:spacing w:before="0" w:after="0"/>
        <w:ind w:left="1020" w:right="0" w:hanging="44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>Ежов С . В . Архитектура общественно-торговых комплексов (Формирование информационно-распределительных простраств) . - Киев, 1988. - 1 04 с 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numPr>
          <w:ilvl w:val="0"/>
          <w:numId w:val="1"/>
        </w:numPr>
        <w:shd w:val="clear" w:color="auto" w:fill="auto"/>
        <w:tabs>
          <w:tab w:pos="1000" w:val="left"/>
        </w:tabs>
        <w:bidi w:val="0"/>
        <w:spacing w:before="0" w:after="0"/>
        <w:ind w:left="0" w:right="0" w:firstLine="58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>Костенко А . Я . Средства информации в архитектуре . - Киев, 1984. -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1020" w:right="0" w:firstLine="0"/>
        <w:jc w:val="both"/>
      </w:pPr>
      <w:r>
        <w:rPr>
          <w:color w:val="000000"/>
          <w:spacing w:val="0"/>
          <w:w w:val="100"/>
          <w:position w:val="0"/>
        </w:rPr>
        <w:t>112 с 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numPr>
          <w:ilvl w:val="0"/>
          <w:numId w:val="1"/>
        </w:numPr>
        <w:shd w:val="clear" w:color="auto" w:fill="auto"/>
        <w:tabs>
          <w:tab w:pos="1000" w:val="left"/>
        </w:tabs>
        <w:bidi w:val="0"/>
        <w:spacing w:before="0" w:after="0"/>
        <w:ind w:left="1020" w:right="0" w:hanging="44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>Костенко А .Я . Информационные зоны в архитектуре общественного комплекса . - Киев, 1978.- вып . 14 - С . 47-51.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numPr>
          <w:ilvl w:val="0"/>
          <w:numId w:val="1"/>
        </w:numPr>
        <w:shd w:val="clear" w:color="auto" w:fill="auto"/>
        <w:tabs>
          <w:tab w:pos="1000" w:val="left"/>
        </w:tabs>
        <w:bidi w:val="0"/>
        <w:spacing w:before="0" w:after="0"/>
        <w:ind w:left="1020" w:right="0" w:hanging="44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 xml:space="preserve">Медіа </w:t>
      </w:r>
      <w:r>
        <w:rPr>
          <w:color w:val="000000"/>
          <w:spacing w:val="0"/>
          <w:w w:val="100"/>
          <w:position w:val="0"/>
        </w:rPr>
        <w:t xml:space="preserve">fasades. ag4.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London, 2006. - 174 </w:t>
      </w:r>
      <w:r>
        <w:rPr>
          <w:color w:val="000000"/>
          <w:spacing w:val="0"/>
          <w:w w:val="100"/>
          <w:position w:val="0"/>
        </w:rPr>
        <w:t>с.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numPr>
          <w:ilvl w:val="0"/>
          <w:numId w:val="1"/>
        </w:numPr>
        <w:shd w:val="clear" w:color="auto" w:fill="auto"/>
        <w:tabs>
          <w:tab w:pos="1000" w:val="left"/>
        </w:tabs>
        <w:bidi w:val="0"/>
        <w:spacing w:before="0" w:after="340"/>
        <w:ind w:left="1020" w:right="0" w:hanging="44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 xml:space="preserve">Сьомка С .В . </w:t>
      </w:r>
      <w:r>
        <w:rPr>
          <w:color w:val="000000"/>
          <w:spacing w:val="0"/>
          <w:w w:val="100"/>
          <w:position w:val="0"/>
        </w:rPr>
        <w:t xml:space="preserve">Архітектурна композиція </w:t>
      </w:r>
      <w:r>
        <w:rPr>
          <w:color w:val="000000"/>
          <w:spacing w:val="0"/>
          <w:w w:val="100"/>
          <w:position w:val="0"/>
        </w:rPr>
        <w:t xml:space="preserve">// </w:t>
      </w:r>
      <w:r>
        <w:rPr>
          <w:color w:val="000000"/>
          <w:spacing w:val="0"/>
          <w:w w:val="100"/>
          <w:position w:val="0"/>
        </w:rPr>
        <w:t>Методичні вказівки до вивчення дисципліни та практичних занять . Київ : КНУБА . - 2005. - 24 с 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Анотація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 статті розглянуті деякі питання композиційно-просторових рішень прогресивних медіа систем і інформативності сучасного міського середовища 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34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</w:rPr>
        <w:t xml:space="preserve"> : композиція площини , лінійна структура, локалізація , рух і віртуальність , акцент, медіа зони пішохідного простору, інтерактивність та медіальність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Annotation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The article deals with some issues of compositional and spatial solutions for progressive-media systems and informing the modern urban environment.</w:t>
      </w:r>
    </w:p>
    <w:p>
      <w:pPr>
        <w:pStyle w:val="Style11"/>
        <w:keepNext w:val="0"/>
        <w:keepLines w:val="0"/>
        <w:framePr w:w="9706" w:h="10589" w:hRule="exact" w:wrap="none" w:vAnchor="page" w:hAnchor="page" w:x="1102" w:y="181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Key words</w:t>
      </w:r>
      <w:r>
        <w:rPr>
          <w:color w:val="000000"/>
          <w:spacing w:val="0"/>
          <w:w w:val="100"/>
          <w:position w:val="0"/>
        </w:rPr>
        <w:t>: composition plane, linear structure, localization, motion and virtuality, emphasis, media area pedestrian space, interactivity and medialnist.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9">
    <w:name w:val="Подпись к картинке_"/>
    <w:basedOn w:val="DefaultParagraphFont"/>
    <w:link w:val="Style1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8">
    <w:name w:val="Подпись к картинке"/>
    <w:basedOn w:val="Normal"/>
    <w:link w:val="CharStyle19"/>
    <w:pPr>
      <w:widowControl w:val="0"/>
      <w:shd w:val="clear" w:color="auto" w:fill="auto"/>
      <w:spacing w:line="288" w:lineRule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Relationship Id="rId13" Type="http://schemas.openxmlformats.org/officeDocument/2006/relationships/image" Target="media/image5.jpeg"/><Relationship Id="rId14" Type="http://schemas.openxmlformats.org/officeDocument/2006/relationships/image" Target="media/image5.jpeg" TargetMode="External"/><Relationship Id="rId15" Type="http://schemas.openxmlformats.org/officeDocument/2006/relationships/image" Target="media/image6.jpeg"/><Relationship Id="rId16" Type="http://schemas.openxmlformats.org/officeDocument/2006/relationships/image" Target="media/image6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